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October 25, 2023</w:t>
      </w:r>
    </w:p>
    <w:p>
      <w:pPr>
        <w:spacing w:after="0" w:line="246" w:lineRule="exact"/>
        <w:rPr>
          <w:sz w:val="24"/>
          <w:szCs w:val="24"/>
          <w:color w:val="auto"/>
        </w:rPr>
      </w:pPr>
    </w:p>
    <w:p>
      <w:pPr>
        <w:ind w:left="386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CME GROUP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8" w:lineRule="exact"/>
        <w:rPr>
          <w:sz w:val="24"/>
          <w:szCs w:val="24"/>
          <w:color w:val="auto"/>
        </w:rPr>
      </w:pPr>
    </w:p>
    <w:p>
      <w:pPr>
        <w:ind w:left="3800"/>
        <w:spacing w:after="0"/>
        <w:rPr>
          <w:sz w:val="20"/>
          <w:szCs w:val="20"/>
          <w:color w:val="auto"/>
        </w:rPr>
      </w:pPr>
      <w:r>
        <w:rPr>
          <w:rFonts w:ascii="Arial" w:cs="Arial" w:eastAsia="Arial" w:hAnsi="Arial"/>
          <w:sz w:val="13"/>
          <w:szCs w:val="13"/>
          <w:color w:val="auto"/>
        </w:rPr>
        <w:t>_________________________________________________________</w:t>
      </w:r>
    </w:p>
    <w:p>
      <w:pPr>
        <w:sectPr>
          <w:pgSz w:w="11900" w:h="16838" w:orient="portrait"/>
          <w:cols w:equalWidth="0" w:num="1">
            <w:col w:w="11200"/>
          </w:cols>
          <w:pgMar w:left="320" w:top="1043" w:right="379" w:bottom="1440" w:gutter="0" w:footer="0" w:header="0"/>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560"/>
        <w:spacing w:after="0"/>
        <w:rPr>
          <w:sz w:val="20"/>
          <w:szCs w:val="20"/>
          <w:color w:val="auto"/>
        </w:rPr>
      </w:pPr>
      <w:r>
        <w:rPr>
          <w:rFonts w:ascii="Arial" w:cs="Arial" w:eastAsia="Arial" w:hAnsi="Arial"/>
          <w:sz w:val="16"/>
          <w:szCs w:val="16"/>
          <w:b w:val="1"/>
          <w:bCs w:val="1"/>
          <w:color w:val="auto"/>
        </w:rPr>
        <w:t>001-31553</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36-4459170</w:t>
      </w:r>
    </w:p>
    <w:p>
      <w:pPr>
        <w:spacing w:after="0" w:line="45" w:lineRule="exact"/>
        <w:rPr>
          <w:sz w:val="24"/>
          <w:szCs w:val="24"/>
          <w:color w:val="auto"/>
        </w:rPr>
      </w:pPr>
    </w:p>
    <w:p>
      <w:pPr>
        <w:sectPr>
          <w:pgSz w:w="11900" w:h="16838" w:orient="portrait"/>
          <w:cols w:equalWidth="0" w:num="3">
            <w:col w:w="4480" w:space="720"/>
            <w:col w:w="3340" w:space="720"/>
            <w:col w:w="1940"/>
          </w:cols>
          <w:pgMar w:left="320" w:top="1043" w:right="379" w:bottom="1440" w:gutter="0" w:footer="0" w:header="0"/>
          <w:type w:val="continuous"/>
        </w:sectPr>
      </w:pPr>
    </w:p>
    <w:p>
      <w:pPr>
        <w:spacing w:after="0" w:line="5" w:lineRule="exact"/>
        <w:rPr>
          <w:sz w:val="24"/>
          <w:szCs w:val="24"/>
          <w:color w:val="auto"/>
        </w:rPr>
      </w:pPr>
    </w:p>
    <w:p>
      <w:pPr>
        <w:jc w:val="center"/>
        <w:ind w:right="146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1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3220" w:space="720"/>
            <w:col w:w="2060"/>
          </w:cols>
          <w:pgMar w:left="320" w:top="1043" w:right="37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20 South Wacker Drive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Chicago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Illinois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60606</w:t>
      </w:r>
    </w:p>
    <w:p>
      <w:pPr>
        <w:spacing w:after="0" w:line="50" w:lineRule="exact"/>
        <w:rPr>
          <w:sz w:val="24"/>
          <w:szCs w:val="24"/>
          <w:color w:val="auto"/>
        </w:rPr>
      </w:pPr>
    </w:p>
    <w:p>
      <w:pPr>
        <w:sectPr>
          <w:pgSz w:w="11900" w:h="16838" w:orient="portrait"/>
          <w:cols w:equalWidth="0" w:num="4">
            <w:col w:w="3560" w:space="720"/>
            <w:col w:w="780" w:space="720"/>
            <w:col w:w="2300" w:space="720"/>
            <w:col w:w="2400"/>
          </w:cols>
          <w:pgMar w:left="320" w:top="1043" w:right="379" w:bottom="1440" w:gutter="0" w:footer="0" w:header="0"/>
          <w:type w:val="continuous"/>
        </w:sectPr>
      </w:pPr>
    </w:p>
    <w:p>
      <w:pPr>
        <w:ind w:left="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980" w:space="720"/>
            <w:col w:w="2500"/>
          </w:cols>
          <w:pgMar w:left="320" w:top="1043" w:right="3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(312) 930-1000</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64"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w:t>
      </w:r>
    </w:p>
    <w:p>
      <w:pPr>
        <w:spacing w:after="0" w:line="7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General Instruction A.2. below):</w:t>
      </w:r>
    </w:p>
    <w:p>
      <w:pPr>
        <w:spacing w:after="0" w:line="4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Pr>
          <w:p>
            <w:pPr>
              <w:spacing w:after="0"/>
              <w:rPr>
                <w:sz w:val="24"/>
                <w:szCs w:val="24"/>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8"/>
                <w:szCs w:val="18"/>
                <w:color w:val="auto"/>
                <w:w w:val="92"/>
              </w:rPr>
              <w:t>Trading symbol</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4820" w:type="dxa"/>
            <w:vAlign w:val="bottom"/>
            <w:gridSpan w:val="3"/>
          </w:tcPr>
          <w:p>
            <w:pPr>
              <w:jc w:val="center"/>
              <w:ind w:right="1040"/>
              <w:spacing w:after="0"/>
              <w:rPr>
                <w:sz w:val="20"/>
                <w:szCs w:val="20"/>
                <w:color w:val="auto"/>
              </w:rPr>
            </w:pPr>
            <w:r>
              <w:rPr>
                <w:rFonts w:ascii="Arial" w:cs="Arial" w:eastAsia="Arial" w:hAnsi="Arial"/>
                <w:sz w:val="18"/>
                <w:szCs w:val="18"/>
                <w:color w:val="auto"/>
                <w:w w:val="91"/>
              </w:rPr>
              <w:t>Class A Common Stock</w:t>
            </w:r>
          </w:p>
        </w:tc>
        <w:tc>
          <w:tcPr>
            <w:tcW w:w="192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CME</w:t>
            </w:r>
          </w:p>
        </w:tc>
        <w:tc>
          <w:tcPr>
            <w:tcW w:w="8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94"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1" w:name="page2"/>
    <w:bookmarkEnd w:id="1"/>
    <w:p>
      <w:pPr>
        <w:ind w:right="16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1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information set forth under “Item 2.02. Results Of Operations and Financial Condition,”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Attached and incorporated herein by reference as Exhibit 99.1 is a copy of a press release of CME Group Inc. dated October 25, 2023, reporting CME Group Inc.’s financial results for the quarter ended September 30, 2023.</w:t>
      </w:r>
    </w:p>
    <w:p>
      <w:pPr>
        <w:spacing w:after="0" w:line="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supplement CME Group’s financial statements on a GAAP basis, the attached press release includes financial measures that are not in accordance with GAAP, consisting of non-GAAP net income and earnings per share. Management believes that the presentation of non-GAAP net income and earnings per share provide important supplemental information to management and investors about financial and business trends relating to CME Group Inc.’s financial condition and results of operations. Management believes that the use of these non-GAAP financial measures provide a better measure of comparability with the Company’s prior financial reports. Management acknowledges that non-GAAP adjustments may include recurring items. These non-GAAP measures should be considered as a supplement to, and not as a substitute for, or superior to, the corresponding measures calculated in accordance with GAAP. Pursuant to the requirements of Regulation G, CME Group Inc. has included a reconciliation of the non-GAAP financial measures to the most directly comparable GAAP financial measures in the press release.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177"/>
              <w:spacing w:after="0"/>
              <w:rPr>
                <w:sz w:val="20"/>
                <w:szCs w:val="20"/>
                <w:color w:val="auto"/>
              </w:rPr>
            </w:pPr>
            <w:r>
              <w:rPr>
                <w:rFonts w:ascii="Arial" w:cs="Arial" w:eastAsia="Arial" w:hAnsi="Arial"/>
                <w:sz w:val="18"/>
                <w:szCs w:val="18"/>
                <w:b w:val="1"/>
                <w:bCs w:val="1"/>
                <w:color w:val="auto"/>
                <w:w w:val="93"/>
              </w:rPr>
              <w:t>Item 9.01</w:t>
            </w:r>
          </w:p>
        </w:tc>
        <w:tc>
          <w:tcPr>
            <w:tcW w:w="10240" w:type="dxa"/>
            <w:vAlign w:val="bottom"/>
            <w:gridSpan w:val="5"/>
          </w:tcPr>
          <w:p>
            <w:pPr>
              <w:ind w:left="58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540"/>
        </w:trPr>
        <w:tc>
          <w:tcPr>
            <w:tcW w:w="1000" w:type="dxa"/>
            <w:vAlign w:val="bottom"/>
          </w:tcPr>
          <w:p>
            <w:pPr>
              <w:jc w:val="right"/>
              <w:ind w:right="177"/>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520" w:type="dxa"/>
            <w:vAlign w:val="bottom"/>
            <w:tcBorders>
              <w:bottom w:val="single" w:sz="8" w:color="auto"/>
            </w:tcBorders>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0000FF"/>
              </w:rPr>
              <w:t>Press Release, dated October 25, 2023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The cover page from CME Group Inc.'s Current Report on Form 8-K, formatted in Inline XBRL.</w:t>
            </w:r>
          </w:p>
        </w:tc>
        <w:tc>
          <w:tcPr>
            <w:tcW w:w="0" w:type="dxa"/>
            <w:vAlign w:val="bottom"/>
          </w:tcPr>
          <w:p>
            <w:pPr>
              <w:spacing w:after="0"/>
              <w:rPr>
                <w:sz w:val="1"/>
                <w:szCs w:val="1"/>
                <w:color w:val="auto"/>
              </w:rPr>
            </w:pPr>
          </w:p>
        </w:tc>
      </w:tr>
      <w:tr>
        <w:trPr>
          <w:trHeight w:val="992"/>
        </w:trPr>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 October 25, 2023</w:t>
            </w:r>
          </w:p>
        </w:tc>
        <w:tc>
          <w:tcPr>
            <w:tcW w:w="2300" w:type="dxa"/>
            <w:vAlign w:val="bottom"/>
          </w:tcPr>
          <w:p>
            <w:pPr>
              <w:ind w:left="1460"/>
              <w:spacing w:after="0"/>
              <w:rPr>
                <w:sz w:val="20"/>
                <w:szCs w:val="20"/>
                <w:color w:val="auto"/>
              </w:rPr>
            </w:pPr>
            <w:r>
              <w:rPr>
                <w:rFonts w:ascii="Arial" w:cs="Arial" w:eastAsia="Arial" w:hAnsi="Arial"/>
                <w:sz w:val="18"/>
                <w:szCs w:val="18"/>
                <w:color w:val="auto"/>
              </w:rPr>
              <w:t>By:</w:t>
            </w:r>
          </w:p>
        </w:tc>
        <w:tc>
          <w:tcPr>
            <w:tcW w:w="57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/s/ Lynne Fitzpatrick</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2300" w:type="dxa"/>
            <w:vAlign w:val="bottom"/>
          </w:tcPr>
          <w:p>
            <w:pPr>
              <w:ind w:left="1460"/>
              <w:spacing w:after="0"/>
              <w:rPr>
                <w:sz w:val="20"/>
                <w:szCs w:val="20"/>
                <w:color w:val="auto"/>
              </w:rPr>
            </w:pPr>
            <w:r>
              <w:rPr>
                <w:rFonts w:ascii="Arial" w:cs="Arial" w:eastAsia="Arial" w:hAnsi="Arial"/>
                <w:sz w:val="18"/>
                <w:szCs w:val="18"/>
                <w:color w:val="auto"/>
              </w:rPr>
              <w:t>Name:</w:t>
            </w:r>
          </w:p>
        </w:tc>
        <w:tc>
          <w:tcPr>
            <w:tcW w:w="576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3"/>
              </w:rPr>
              <w:t>Lynne Fitzpatrick</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300" w:type="dxa"/>
            <w:vAlign w:val="bottom"/>
            <w:vMerge w:val="restart"/>
          </w:tcPr>
          <w:p>
            <w:pPr>
              <w:ind w:left="1460"/>
              <w:spacing w:after="0"/>
              <w:rPr>
                <w:sz w:val="20"/>
                <w:szCs w:val="20"/>
                <w:color w:val="auto"/>
              </w:rPr>
            </w:pPr>
            <w:r>
              <w:rPr>
                <w:rFonts w:ascii="Arial" w:cs="Arial" w:eastAsia="Arial" w:hAnsi="Arial"/>
                <w:sz w:val="18"/>
                <w:szCs w:val="18"/>
                <w:color w:val="auto"/>
              </w:rPr>
              <w:t>Title:</w:t>
            </w:r>
          </w:p>
        </w:tc>
        <w:tc>
          <w:tcPr>
            <w:tcW w:w="5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576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2"/>
              </w:rPr>
              <w:t>Senior Managing Director and Chief Financial Officer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76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Principal Financial Offer and</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6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Duly Authorized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34" w:right="359" w:bottom="1440" w:gutter="0" w:footer="0" w:header="0"/>
        </w:sectPr>
      </w:pPr>
    </w:p>
    <w:bookmarkStart w:id="3" w:name="page4"/>
    <w:bookmarkEnd w:id="3"/>
    <w:p>
      <w:pPr>
        <w:spacing w:after="0" w:line="200" w:lineRule="exact"/>
        <w:rPr>
          <w:sz w:val="20"/>
          <w:szCs w:val="20"/>
          <w:color w:val="auto"/>
        </w:rPr>
      </w:pPr>
    </w:p>
    <w:p>
      <w:pPr>
        <w:spacing w:after="0" w:line="2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51435</wp:posOffset>
            </wp:positionV>
            <wp:extent cx="5220335" cy="72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2033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440" w:type="dxa"/>
        <w:tblCellMar>
          <w:top w:w="0" w:type="dxa"/>
          <w:left w:w="0" w:type="dxa"/>
          <w:bottom w:w="0" w:type="dxa"/>
          <w:right w:w="0" w:type="dxa"/>
        </w:tblCellMar>
      </w:tblPr>
      <w:tr>
        <w:trPr>
          <w:trHeight w:val="200"/>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Media contact</w:t>
            </w: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 contact</w:t>
            </w:r>
          </w:p>
        </w:tc>
      </w:tr>
      <w:tr>
        <w:trPr>
          <w:trHeight w:val="193"/>
        </w:trPr>
        <w:tc>
          <w:tcPr>
            <w:tcW w:w="3000" w:type="dxa"/>
            <w:vAlign w:val="bottom"/>
            <w:gridSpan w:val="3"/>
          </w:tcPr>
          <w:p>
            <w:pPr>
              <w:spacing w:after="0"/>
              <w:rPr>
                <w:sz w:val="20"/>
                <w:szCs w:val="20"/>
                <w:color w:val="auto"/>
              </w:rPr>
            </w:pPr>
            <w:r>
              <w:rPr>
                <w:rFonts w:ascii="Arial" w:cs="Arial" w:eastAsia="Arial" w:hAnsi="Arial"/>
                <w:sz w:val="14"/>
                <w:szCs w:val="14"/>
                <w:color w:val="auto"/>
              </w:rPr>
              <w:t>Timothy Barello, 212.299.2256</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Adam Minick, 312.340.8365</w:t>
            </w:r>
          </w:p>
        </w:tc>
      </w:tr>
      <w:tr>
        <w:trPr>
          <w:trHeight w:val="174"/>
        </w:trPr>
        <w:tc>
          <w:tcPr>
            <w:tcW w:w="3000" w:type="dxa"/>
            <w:vAlign w:val="bottom"/>
            <w:gridSpan w:val="3"/>
          </w:tcPr>
          <w:p>
            <w:pPr>
              <w:spacing w:after="0"/>
              <w:rPr>
                <w:sz w:val="20"/>
                <w:szCs w:val="20"/>
                <w:color w:val="auto"/>
              </w:rPr>
            </w:pPr>
            <w:r>
              <w:rPr>
                <w:rFonts w:ascii="Arial" w:cs="Arial" w:eastAsia="Arial" w:hAnsi="Arial"/>
                <w:sz w:val="14"/>
                <w:szCs w:val="14"/>
                <w:color w:val="auto"/>
              </w:rPr>
              <w:t>Laurie Bischel, 312.648.8698</w:t>
            </w:r>
          </w:p>
        </w:tc>
        <w:tc>
          <w:tcPr>
            <w:tcW w:w="1800" w:type="dxa"/>
            <w:vAlign w:val="bottom"/>
            <w:gridSpan w:val="2"/>
          </w:tcPr>
          <w:p>
            <w:pPr>
              <w:ind w:left="20"/>
              <w:spacing w:after="0"/>
              <w:rPr>
                <w:sz w:val="20"/>
                <w:szCs w:val="20"/>
                <w:color w:val="auto"/>
              </w:rPr>
            </w:pPr>
            <w:r>
              <w:rPr>
                <w:rFonts w:ascii="Arial" w:cs="Arial" w:eastAsia="Arial" w:hAnsi="Arial"/>
                <w:sz w:val="14"/>
                <w:szCs w:val="14"/>
                <w:color w:val="0000FF"/>
              </w:rPr>
              <w:t>investors@cmegroup.com</w:t>
            </w:r>
          </w:p>
        </w:tc>
      </w:tr>
      <w:tr>
        <w:trPr>
          <w:trHeight w:val="209"/>
        </w:trPr>
        <w:tc>
          <w:tcPr>
            <w:tcW w:w="14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news@cmegroup.com</w:t>
            </w:r>
          </w:p>
        </w:tc>
        <w:tc>
          <w:tcPr>
            <w:tcW w:w="1560" w:type="dxa"/>
            <w:vAlign w:val="bottom"/>
            <w:gridSpan w:val="2"/>
          </w:tcPr>
          <w:p>
            <w:pPr>
              <w:spacing w:after="0"/>
              <w:rPr>
                <w:sz w:val="18"/>
                <w:szCs w:val="18"/>
                <w:color w:val="auto"/>
              </w:rPr>
            </w:pPr>
          </w:p>
        </w:tc>
        <w:tc>
          <w:tcPr>
            <w:tcW w:w="16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CME-G</w:t>
            </w:r>
          </w:p>
        </w:tc>
        <w:tc>
          <w:tcPr>
            <w:tcW w:w="120" w:type="dxa"/>
            <w:vAlign w:val="bottom"/>
          </w:tcPr>
          <w:p>
            <w:pPr>
              <w:spacing w:after="0"/>
              <w:rPr>
                <w:sz w:val="18"/>
                <w:szCs w:val="18"/>
                <w:color w:val="auto"/>
              </w:rPr>
            </w:pPr>
          </w:p>
        </w:tc>
      </w:tr>
      <w:tr>
        <w:trPr>
          <w:trHeight w:val="183"/>
        </w:trPr>
        <w:tc>
          <w:tcPr>
            <w:tcW w:w="24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www.cmegroup.com/media-room.html</w:t>
            </w:r>
          </w:p>
        </w:tc>
        <w:tc>
          <w:tcPr>
            <w:tcW w:w="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CME Group Inc. Reports Third-Quarter 2023 Financial Results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CHICAGO, October 25, 2023 - CME Group Inc. (NASDAQ: CME) today reported financial results for the third quarter of</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16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reported revenue of $1.3 billion and operating income of $820 million for the third quarter of 2023. Net income was $750 million and diluted earnings per common share were $2.06. On an adjusted basis, net income was $818 million and diluted earnings per common share were $2.25. Financial results presented on an adjusted basis for the third quarter of 2023 and 2022 exclude certain items, which are detailed in the reconciliation of non-GAAP results.</w:t>
      </w:r>
      <w:r>
        <w:rPr>
          <w:rFonts w:ascii="Arial" w:cs="Arial" w:eastAsia="Arial" w:hAnsi="Arial"/>
          <w:sz w:val="25"/>
          <w:szCs w:val="25"/>
          <w:color w:val="auto"/>
          <w:vertAlign w:val="superscript"/>
        </w:rPr>
        <w:t>1</w:t>
      </w:r>
    </w:p>
    <w:p>
      <w:pPr>
        <w:spacing w:after="0" w:line="102" w:lineRule="exact"/>
        <w:rPr>
          <w:sz w:val="20"/>
          <w:szCs w:val="20"/>
          <w:color w:val="auto"/>
        </w:rPr>
      </w:pPr>
    </w:p>
    <w:p>
      <w:pPr>
        <w:ind w:firstLine="648"/>
        <w:spacing w:after="0" w:line="238" w:lineRule="auto"/>
        <w:rPr>
          <w:sz w:val="20"/>
          <w:szCs w:val="20"/>
          <w:color w:val="auto"/>
        </w:rPr>
      </w:pPr>
      <w:r>
        <w:rPr>
          <w:rFonts w:ascii="Arial" w:cs="Arial" w:eastAsia="Arial" w:hAnsi="Arial"/>
          <w:sz w:val="20"/>
          <w:szCs w:val="20"/>
          <w:color w:val="auto"/>
        </w:rPr>
        <w:t>"CME Group delivered its ninth consecutive quarter of double-digit growth in adjusted earnings per share and a 9% increase in revenue as market participants continued turning to our markets to mitigate their business risks amid accelerating geopolitical uncertainty," said CME Group Chairman and Chief Executive Officer Terry Duffy. "This was a particularly strong quarter, with interest rate volume increasing 6%, driven by an 18% rise in Treasury futures ADV and records in our Ultra 10-Year and Ultra T-Bond futures. We also generated significant growth across agricultural, energy and options products."</w:t>
      </w:r>
    </w:p>
    <w:p>
      <w:pPr>
        <w:spacing w:after="0" w:line="210"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Third-quarter 2023 average daily volume (ADV) was 22.3 million contracts. Non-U.S. ADV reached 6.5 million contracts, up 7% from third-quarter 2022, including 16% growth in interest rates and double-digit growth across agricultural, energy and metals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firstLine="8"/>
        <w:spacing w:after="0" w:line="280" w:lineRule="auto"/>
        <w:tabs>
          <w:tab w:leader="none" w:pos="14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A reconciliation of the non-GAAP financial results mentioned to the respective GAAP figures can be found within the Reconciliation of GAAP to non-GAAP Measures chart at the end of the financial statements and earnings presentation materials.</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319" w:lineRule="exact"/>
        <w:rPr>
          <w:rFonts w:ascii="Arial" w:cs="Arial" w:eastAsia="Arial" w:hAnsi="Arial"/>
          <w:sz w:val="13"/>
          <w:szCs w:val="13"/>
          <w:b w:val="1"/>
          <w:bCs w:val="1"/>
          <w:color w:val="auto"/>
        </w:rPr>
      </w:pPr>
    </w:p>
    <w:p>
      <w:pPr>
        <w:ind w:left="5400" w:hanging="106"/>
        <w:spacing w:after="0"/>
        <w:tabs>
          <w:tab w:leader="none" w:pos="54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more -</w:t>
      </w:r>
    </w:p>
    <w:p>
      <w:pPr>
        <w:sectPr>
          <w:pgSz w:w="11900" w:h="16838" w:orient="portrait"/>
          <w:cols w:equalWidth="0" w:num="1">
            <w:col w:w="11220"/>
          </w:cols>
          <w:pgMar w:left="320" w:top="1440" w:right="359" w:bottom="1440" w:gutter="0" w:footer="0" w:header="0"/>
        </w:sectPr>
      </w:pPr>
    </w:p>
    <w:bookmarkStart w:id="4" w:name="page5"/>
    <w:bookmarkEnd w:id="4"/>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Page 2</w:t>
      </w:r>
    </w:p>
    <w:p>
      <w:pPr>
        <w:spacing w:after="0" w:line="185" w:lineRule="exact"/>
        <w:rPr>
          <w:sz w:val="20"/>
          <w:szCs w:val="20"/>
          <w:color w:val="auto"/>
        </w:rPr>
      </w:pPr>
    </w:p>
    <w:p>
      <w:pPr>
        <w:ind w:right="100" w:firstLine="648"/>
        <w:spacing w:after="0" w:line="261" w:lineRule="auto"/>
        <w:rPr>
          <w:sz w:val="20"/>
          <w:szCs w:val="20"/>
          <w:color w:val="auto"/>
        </w:rPr>
      </w:pPr>
      <w:r>
        <w:rPr>
          <w:rFonts w:ascii="Arial" w:cs="Arial" w:eastAsia="Arial" w:hAnsi="Arial"/>
          <w:sz w:val="20"/>
          <w:szCs w:val="20"/>
          <w:color w:val="auto"/>
        </w:rPr>
        <w:t>Clearing and transaction fees revenue for third-quarter 2023 totaled $1.1 billion. The total average rate per contract was $0.707. Market data revenue totaled $168 million for third-quarter 2023.</w:t>
      </w:r>
    </w:p>
    <w:p>
      <w:pPr>
        <w:spacing w:after="0" w:line="134" w:lineRule="exact"/>
        <w:rPr>
          <w:sz w:val="20"/>
          <w:szCs w:val="20"/>
          <w:color w:val="auto"/>
        </w:rPr>
      </w:pPr>
    </w:p>
    <w:p>
      <w:pPr>
        <w:ind w:right="340" w:firstLine="648"/>
        <w:spacing w:after="0" w:line="256" w:lineRule="auto"/>
        <w:rPr>
          <w:sz w:val="20"/>
          <w:szCs w:val="20"/>
          <w:color w:val="auto"/>
        </w:rPr>
      </w:pPr>
      <w:r>
        <w:rPr>
          <w:rFonts w:ascii="Arial" w:cs="Arial" w:eastAsia="Arial" w:hAnsi="Arial"/>
          <w:sz w:val="20"/>
          <w:szCs w:val="20"/>
          <w:color w:val="auto"/>
        </w:rPr>
        <w:t>As of September 30, 2023, the company had approximately $2.5 billion in cash (including $150 million deposited with Fixed Income Clearing Corporation, which is included in other current assets) and $3.4 billion of debt. The company paid dividends of approximately $400 million during the third quarter of 2023. The company has returned over $22 billion to shareholders in the form of dividends since the implementation of the variable dividend policy in early 2012.</w:t>
      </w:r>
    </w:p>
    <w:p>
      <w:pPr>
        <w:spacing w:after="0" w:line="305" w:lineRule="exact"/>
        <w:rPr>
          <w:sz w:val="20"/>
          <w:szCs w:val="20"/>
          <w:color w:val="auto"/>
        </w:rPr>
      </w:pPr>
    </w:p>
    <w:p>
      <w:pPr>
        <w:ind w:right="120" w:firstLine="648"/>
        <w:spacing w:after="0" w:line="271" w:lineRule="auto"/>
        <w:rPr>
          <w:sz w:val="20"/>
          <w:szCs w:val="20"/>
          <w:color w:val="auto"/>
        </w:rPr>
      </w:pPr>
      <w:r>
        <w:rPr>
          <w:rFonts w:ascii="Arial" w:cs="Arial" w:eastAsia="Arial" w:hAnsi="Arial"/>
          <w:sz w:val="20"/>
          <w:szCs w:val="20"/>
          <w:b w:val="1"/>
          <w:bCs w:val="1"/>
          <w:color w:val="auto"/>
        </w:rPr>
        <w:t>CME Group will hold a Q&amp;A conference call to discuss third-quarter 2023 results at 8:30 a.m. Eastern Time today. A live audio webcast of the Q&amp;A call will be available on the Investor Relations section of CME Group’s website at www.cmegroup.com. An archived recording will be available for up to two months after the call.</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the world's leading derivatives marketplace, CME Group (</w:t>
      </w:r>
      <w:r>
        <w:rPr>
          <w:rFonts w:ascii="Arial" w:cs="Arial" w:eastAsia="Arial" w:hAnsi="Arial"/>
          <w:sz w:val="18"/>
          <w:szCs w:val="18"/>
          <w:u w:val="single" w:color="auto"/>
          <w:color w:val="0000FF"/>
        </w:rPr>
        <w:t>www.cmegroup.com</w:t>
      </w:r>
      <w:r>
        <w:rPr>
          <w:rFonts w:ascii="Arial" w:cs="Arial" w:eastAsia="Arial" w:hAnsi="Arial"/>
          <w:sz w:val="18"/>
          <w:szCs w:val="18"/>
          <w:color w:val="auto"/>
        </w:rPr>
        <w:t xml:space="preserve">) enables clients to trade futures, options, cash and OTC markets, optimize portfolios, and analyze data - empowering market participants worldwide to efficiently manage risk and capture opportunities. CME Group exchanges offer the widest range of global benchmark products across all major asset classes based on </w:t>
      </w:r>
      <w:r>
        <w:rPr>
          <w:rFonts w:ascii="Arial" w:cs="Arial" w:eastAsia="Arial" w:hAnsi="Arial"/>
          <w:sz w:val="18"/>
          <w:szCs w:val="18"/>
          <w:u w:val="single" w:color="auto"/>
          <w:color w:val="0000FF"/>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rates</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equity indexes</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foreign exchange</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energy</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agricultural products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metals</w:t>
      </w:r>
      <w:r>
        <w:rPr>
          <w:rFonts w:ascii="Arial" w:cs="Arial" w:eastAsia="Arial" w:hAnsi="Arial"/>
          <w:sz w:val="18"/>
          <w:szCs w:val="18"/>
          <w:color w:val="000000"/>
        </w:rPr>
        <w:t>. The company offers futures and options on futures trading</w:t>
      </w:r>
    </w:p>
    <w:p>
      <w:pPr>
        <w:spacing w:after="0" w:line="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 xml:space="preserve">through the </w:t>
      </w:r>
      <w:r>
        <w:rPr>
          <w:rFonts w:ascii="Arial" w:cs="Arial" w:eastAsia="Arial" w:hAnsi="Arial"/>
          <w:sz w:val="18"/>
          <w:szCs w:val="18"/>
          <w:u w:val="single" w:color="auto"/>
          <w:color w:val="0000FF"/>
        </w:rPr>
        <w:t>CME Globex</w:t>
      </w:r>
      <w:r>
        <w:rPr>
          <w:rFonts w:ascii="Arial" w:cs="Arial" w:eastAsia="Arial" w:hAnsi="Arial"/>
          <w:sz w:val="18"/>
          <w:szCs w:val="18"/>
          <w:color w:val="auto"/>
        </w:rPr>
        <w:t xml:space="preserve"> platform, fixed income trading via BrokerTec and foreign exchange trading on the EBS platform. In addition, it operates one of the world's leading central counterparty clearing providers, CME Clearing.</w:t>
      </w:r>
    </w:p>
    <w:p>
      <w:pPr>
        <w:spacing w:after="0" w:line="19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BrokerTec and EBS are trademarks of BrokerTec Europe LTD and EBS Group LTD, respectively. The S&amp;P 500 Index is a product of S&amp;P Dow Jones Indices LLC (“S&amp;P DJI”). “S&amp;P®”, “S&amp;P 500®”, “SPY®”, “SPX®”, US 500 and The 500 are trademarks of Standard &amp; Poor’s</w:t>
      </w:r>
    </w:p>
    <w:p>
      <w:pPr>
        <w:spacing w:after="0" w:line="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Financial Services LLC; Dow Jones®, DJIA® and Dow Jones Industrial Average are service and/or trademarks of Dow Jones Trademark Holdings LLC. These trademarks have been licensed for use by Chicago Mercantile Exchange Inc. Futures contracts based on the S&amp;P 500</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Index are not sponsored, endorsed, marketed, or promoted by S&amp;P DJI, and S&amp;P DJI makes no representation regarding the advisability of investing in such products.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220"/>
          </w:cols>
          <w:pgMar w:left="320" w:top="1440" w:right="359" w:bottom="1440" w:gutter="0" w:footer="0" w:header="0"/>
        </w:sectPr>
      </w:pPr>
    </w:p>
    <w:bookmarkStart w:id="5" w:name="page6"/>
    <w:bookmarkEnd w:id="5"/>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Page 3</w:t>
      </w:r>
    </w:p>
    <w:p>
      <w:pPr>
        <w:spacing w:after="0" w:line="238" w:lineRule="exact"/>
        <w:rPr>
          <w:sz w:val="20"/>
          <w:szCs w:val="20"/>
          <w:color w:val="auto"/>
        </w:rPr>
      </w:pPr>
    </w:p>
    <w:p>
      <w:pPr>
        <w:ind w:firstLine="648"/>
        <w:spacing w:after="0" w:line="248" w:lineRule="auto"/>
        <w:rPr>
          <w:sz w:val="20"/>
          <w:szCs w:val="20"/>
          <w:color w:val="auto"/>
        </w:rPr>
      </w:pPr>
      <w:r>
        <w:rPr>
          <w:rFonts w:ascii="Arial" w:cs="Arial" w:eastAsia="Arial" w:hAnsi="Arial"/>
          <w:sz w:val="17"/>
          <w:szCs w:val="17"/>
          <w:i w:val="1"/>
          <w:iCs w:val="1"/>
          <w:color w:val="auto"/>
        </w:rPr>
        <w:t>Statements in this press release that are not historical facts are forward-looking statements. These statements are not guarantees of future performance and involve risks, uncertaintes and assumptons that are difcult to predict. Therefore, actual outcomes and results may difer materially from what is expressed or implied in any forward-looking statements. We want to cauton you not to place undue reliance on any forward-looking statements. We undertake no obligaton to publicly update any forward-looking statements, whether as a result of new informaton, future events or otherwise. Among the factors that might afect our performance are increasing competton by foreign and domestc enttes, including increased competton from new entrants into our markets and consolidaton of existng enttes; our ability to keep pace with rapid technological developments, including our ability to complete the development, implementaton and maintenance of the enhanced functonality required by our customers while maintaining reliability and ensuring that such technology is not vulnerable to security risks; our ability to contnue introducing compettve new products and services on a tmely, cost-efectve basis, including through our electronic trading capabilites, and our ability to maintain the compettveness of our existng products and services; our ability to adjust our fxed costs and expenses if our revenues decline; our ability to maintain existng customers at substantally similar trading levels, develop strategic relatonships and atract new customers; our ability to expand and globally ofer our products and services; changes in regulatons, including the impact of any changes in laws or government policies with respect to our products or services or our industry, such as any changes to regulatons and policies that require increased fnancial and operatonal resources from us or our customers; the costs associated with protectng our intellectual property rights and our ability to operate our business without violatng the intellectual property rights of others; decreases in revenue from our market data as a result of decreased demand or changes to regulatons in various jurisdictons; changes in our rate per contract due to shifs in the mix of the products traded, the trading venue and the mix of customers (whether the customer receives member or non-member fees or partcipates in one of our various incentve programs) and the impact of our tered pricing structure; the ability of our credit and liquidity risk management practces to adequately protect us from the credit risks of clearing members and other counterpartes, and to satsfy the margin and liquidity requirements associated with the BrokerTec matched principal business; the ability of our compliance and risk management programs to efectvely monitor and manage our risks, including our ability to prevent errors and misconduct and protect our infrastructure against security breaches and misappropriaton of our intellectual property assets; our dependence on third-party providers and exposure to risk through third partes, including risks related to the performance, reliability and security of technology used by our third-party providers and third party providers that our clients rely on; volatlity in commodity, equity and fxed income prices, and price volatlity of fnancial benchmarks and instruments such as interest rates, credit spreads, equity indices, fxed income instruments and foreign exchange rates; economic, social, politcal and market conditons, including the volatlity of the capital and credit markets and the impact of economic conditons on the trading actvity of our current and potental customers; our ability to accommodate increases in contract volume and order transacton trafc and to implement enhancements without failure or degradaton of the performance of our trading and clearing systems; our ability to execute our growth strategy and maintain our growth efectvely; our ability to manage the risks, control the costs and achieve the synergies associated with our strategy for acquisitons, investments and alliances, including those associated with the performance of our joint ventures with S&amp;P Dow Jones (S&amp;P Dow Jones Indices LLC) in index services and in trade processing/post trade services (OSTTRA), our primary data distributon partners’ actons and our partnership with Google Cloud; variances in earnings on cash accounts and collateral that our clearing house holds for its clients; impact of CME Group pricing and incentve changes; impact of aggregaton services and internalizaton on trade fow and volumes; any negatve fnancial impacts from changes to the terms of intellectual property and index rights; our ability to contnue to generate funds and/or manage our indebtedness to allow us to contnue to invest in our business; industry, channel partner and customer consolidaton; decreases in trading and clearing actvity; the impositon of a transacton tax or user fee on futures and optons transactons and/or repeal of the 60/40 tax treatment of such transactons; our ability to maintain our brand and reputaton; and the unfavorable resoluton of material legal proceedings. For a detailed discussion and additonal informaton concerning these and other factors that might afect our performance, see our other recent periodic flings, including our Annual Report on Form 10-K for the year ended December 31, 2022, as fled with the Securites and Exchange Commission ("SEC") on February 27, 2023, under the capton "Risk Factors".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220"/>
          </w:cols>
          <w:pgMar w:left="320" w:top="1440" w:right="359" w:bottom="1440" w:gutter="0" w:footer="0" w:header="0"/>
        </w:sectPr>
      </w:pPr>
    </w:p>
    <w:bookmarkStart w:id="6" w:name="page7"/>
    <w:bookmarkEnd w:id="6"/>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7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w:t>
            </w: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Other current assets (includes $5.1 and $4.9 in restricted cash)</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135,249.2</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90,776.8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139,078.3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net of accumulated depreciation and amortization</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assets—trading products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17,175.3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assets—other,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10,482.5</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(includes $0.0 and $0.1 in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174,175.7</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137,687.5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3,422.4</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5,361.1</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147,297.0</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CME Group Shareholders’ Equity</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26,878.7</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44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amounts; shares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6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2022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1,085.5</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3,161.3</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r>
      <w:tr>
        <w:trPr>
          <w:trHeight w:val="223"/>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6280" w:type="dxa"/>
            <w:vAlign w:val="bottom"/>
          </w:tcPr>
          <w:p>
            <w:pPr>
              <w:ind w:left="36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23"/>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net earnings of unconsolidated subsidiaries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30"/>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r>
      <w:tr>
        <w:trPr>
          <w:trHeight w:val="223"/>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Non-Operating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2,663.0</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2,053.1</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 of CME Group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Earnings per Share Attributable to Common Shareholders of CME Group:</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358,655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359,619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359,288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359,448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359,206</w:t>
            </w:r>
          </w:p>
        </w:tc>
      </w:tr>
    </w:tbl>
    <w:p>
      <w:pPr>
        <w:sectPr>
          <w:pgSz w:w="11900" w:h="16838" w:orient="portrait"/>
          <w:cols w:equalWidth="0" w:num="1">
            <w:col w:w="11240"/>
          </w:cols>
          <w:pgMar w:left="320" w:top="141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Operating Statistics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300"/>
              <w:spacing w:after="0"/>
              <w:rPr>
                <w:sz w:val="20"/>
                <w:szCs w:val="20"/>
                <w:color w:val="auto"/>
              </w:rPr>
            </w:pPr>
            <w:r>
              <w:rPr>
                <w:rFonts w:ascii="Arial" w:cs="Arial" w:eastAsia="Arial" w:hAnsi="Arial"/>
                <w:sz w:val="14"/>
                <w:szCs w:val="14"/>
                <w:b w:val="1"/>
                <w:bCs w:val="1"/>
                <w:color w:val="auto"/>
              </w:rPr>
              <w:t>3Q 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4Q 2022</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1Q 2023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2Q 2023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 2023</w:t>
            </w:r>
          </w:p>
        </w:tc>
        <w:tc>
          <w:tcPr>
            <w:tcW w:w="20" w:type="dxa"/>
            <w:vAlign w:val="bottom"/>
          </w:tcPr>
          <w:p>
            <w:pPr>
              <w:spacing w:after="0"/>
              <w:rPr>
                <w:sz w:val="16"/>
                <w:szCs w:val="16"/>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Trading Days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1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2"/>
              </w:rPr>
              <w:t>Quarterly Average Daily Volume (ADV)</w:t>
            </w:r>
            <w:r>
              <w:rPr>
                <w:rFonts w:ascii="Arial" w:cs="Arial" w:eastAsia="Arial" w:hAnsi="Arial"/>
                <w:sz w:val="23"/>
                <w:szCs w:val="23"/>
                <w:color w:val="auto"/>
                <w:w w:val="92"/>
                <w:vertAlign w:val="superscript"/>
              </w:rPr>
              <w:t>(1)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3"/>
              </w:rPr>
              <w:t>CME Group ADV (in thousands)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Product Line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3Q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ind w:left="180"/>
              <w:spacing w:after="0"/>
              <w:rPr>
                <w:sz w:val="20"/>
                <w:szCs w:val="20"/>
                <w:color w:val="auto"/>
              </w:rPr>
            </w:pPr>
            <w:r>
              <w:rPr>
                <w:rFonts w:ascii="Arial" w:cs="Arial" w:eastAsia="Arial" w:hAnsi="Arial"/>
                <w:sz w:val="14"/>
                <w:szCs w:val="14"/>
                <w:b w:val="1"/>
                <w:bCs w:val="1"/>
                <w:color w:val="auto"/>
              </w:rPr>
              <w:t>4Q 2022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1Q 2023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2Q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 2023</w:t>
            </w:r>
          </w:p>
        </w:tc>
        <w:tc>
          <w:tcPr>
            <w:tcW w:w="20" w:type="dxa"/>
            <w:vAlign w:val="bottom"/>
          </w:tcPr>
          <w:p>
            <w:pPr>
              <w:spacing w:after="0"/>
              <w:rPr>
                <w:sz w:val="24"/>
                <w:szCs w:val="24"/>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Equity indexes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6,353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 commodities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Metals</w:t>
            </w: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22,349</w:t>
            </w: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Venue</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Globex</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Open outcry</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Privately negotiated</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22,349</w:t>
            </w:r>
          </w:p>
        </w:tc>
        <w:tc>
          <w:tcPr>
            <w:tcW w:w="20" w:type="dxa"/>
            <w:vAlign w:val="bottom"/>
          </w:tcPr>
          <w:p>
            <w:pPr>
              <w:spacing w:after="0"/>
              <w:rPr>
                <w:sz w:val="19"/>
                <w:szCs w:val="19"/>
                <w:color w:val="auto"/>
              </w:rPr>
            </w:pPr>
          </w:p>
        </w:tc>
      </w:tr>
      <w:tr>
        <w:trPr>
          <w:trHeight w:val="10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60" w:type="dxa"/>
            <w:vAlign w:val="bottom"/>
            <w:gridSpan w:val="18"/>
          </w:tcPr>
          <w:p>
            <w:pPr>
              <w:jc w:val="center"/>
              <w:spacing w:after="0"/>
              <w:rPr>
                <w:sz w:val="20"/>
                <w:szCs w:val="20"/>
                <w:color w:val="auto"/>
              </w:rPr>
            </w:pPr>
            <w:r>
              <w:rPr>
                <w:rFonts w:ascii="Arial" w:cs="Arial" w:eastAsia="Arial" w:hAnsi="Arial"/>
                <w:sz w:val="18"/>
                <w:szCs w:val="18"/>
                <w:b w:val="1"/>
                <w:bCs w:val="1"/>
                <w:color w:val="auto"/>
                <w:w w:val="92"/>
              </w:rPr>
              <w:t>Quarterly Average Rate Per Contract (RPC)</w:t>
            </w:r>
            <w:r>
              <w:rPr>
                <w:rFonts w:ascii="Arial" w:cs="Arial" w:eastAsia="Arial" w:hAnsi="Arial"/>
                <w:sz w:val="23"/>
                <w:szCs w:val="23"/>
                <w:color w:val="auto"/>
                <w:w w:val="92"/>
                <w:vertAlign w:val="superscript"/>
              </w:rPr>
              <w: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10"/>
          </w:tcPr>
          <w:p>
            <w:pPr>
              <w:jc w:val="center"/>
              <w:ind w:left="312"/>
              <w:spacing w:after="0"/>
              <w:rPr>
                <w:sz w:val="20"/>
                <w:szCs w:val="20"/>
                <w:color w:val="auto"/>
              </w:rPr>
            </w:pPr>
            <w:r>
              <w:rPr>
                <w:rFonts w:ascii="Arial" w:cs="Arial" w:eastAsia="Arial" w:hAnsi="Arial"/>
                <w:sz w:val="18"/>
                <w:szCs w:val="18"/>
                <w:b w:val="1"/>
                <w:bCs w:val="1"/>
                <w:color w:val="auto"/>
                <w:w w:val="97"/>
              </w:rPr>
              <w:t>CME Group RPC</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Product Line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ind w:left="320"/>
              <w:spacing w:after="0"/>
              <w:rPr>
                <w:sz w:val="20"/>
                <w:szCs w:val="20"/>
                <w:color w:val="auto"/>
              </w:rPr>
            </w:pPr>
            <w:r>
              <w:rPr>
                <w:rFonts w:ascii="Arial" w:cs="Arial" w:eastAsia="Arial" w:hAnsi="Arial"/>
                <w:sz w:val="14"/>
                <w:szCs w:val="14"/>
                <w:b w:val="1"/>
                <w:bCs w:val="1"/>
                <w:color w:val="auto"/>
              </w:rPr>
              <w:t>3Q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4Q 2022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1Q 2023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2Q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 2023</w:t>
            </w:r>
          </w:p>
        </w:tc>
        <w:tc>
          <w:tcPr>
            <w:tcW w:w="20" w:type="dxa"/>
            <w:vAlign w:val="bottom"/>
          </w:tcPr>
          <w:p>
            <w:pPr>
              <w:spacing w:after="0"/>
              <w:rPr>
                <w:sz w:val="24"/>
                <w:szCs w:val="24"/>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w:t>
            </w:r>
          </w:p>
        </w:tc>
        <w:tc>
          <w:tcPr>
            <w:tcW w:w="10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Equity indexes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0.625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 commodities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Metals</w:t>
            </w: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RPC</w:t>
            </w:r>
          </w:p>
        </w:tc>
        <w:tc>
          <w:tcPr>
            <w:tcW w:w="10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0.707</w:t>
            </w:r>
          </w:p>
        </w:tc>
        <w:tc>
          <w:tcPr>
            <w:tcW w:w="2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ADV and RPC includes futures and options on futures only.</w:t>
      </w:r>
    </w:p>
    <w:p>
      <w:pPr>
        <w:sectPr>
          <w:pgSz w:w="11900" w:h="16838" w:orient="portrait"/>
          <w:cols w:equalWidth="0" w:num="1">
            <w:col w:w="11220"/>
          </w:cols>
          <w:pgMar w:left="320" w:top="1417" w:right="359" w:bottom="1440" w:gutter="0" w:footer="0" w:header="0"/>
        </w:sectPr>
      </w:pPr>
    </w:p>
    <w:bookmarkStart w:id="9" w:name="page10"/>
    <w:bookmarkEnd w:id="9"/>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amounts; shares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Restructuring and severance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purchased intangibles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Strategic transaction-related costs (credits)</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transaction (gains) losses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Unrealized and realized (gains) losses on investments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and realized (gains) losses on assets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Debt costs related to refinancing</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Trading floor enhancements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Litigation Matters or Settlements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 related to above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tax items</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2,201.8</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Adjusted Net Income Attributable to Common Shareholders of CME Group</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2,174.1</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9"/>
        </w:trPr>
        <w:tc>
          <w:tcPr>
            <w:tcW w:w="6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Shareholders of CME Group:</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162"/>
        </w:trPr>
        <w:tc>
          <w:tcPr>
            <w:tcW w:w="6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bl>
    <w:p>
      <w:pPr>
        <w:ind w:left="20"/>
        <w:spacing w:after="0"/>
        <w:rPr>
          <w:sz w:val="20"/>
          <w:szCs w:val="20"/>
          <w:color w:val="auto"/>
        </w:rPr>
      </w:pPr>
      <w:r>
        <w:rPr>
          <w:rFonts w:ascii="Arial" w:cs="Arial" w:eastAsia="Arial" w:hAnsi="Arial"/>
          <w:sz w:val="18"/>
          <w:szCs w:val="18"/>
          <w:b w:val="1"/>
          <w:bCs w:val="1"/>
          <w:color w:val="auto"/>
        </w:rPr>
        <w:t>Adjusted Earnings per Share Attributable to Common Shareholders of CME Group: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162"/>
        </w:trPr>
        <w:tc>
          <w:tcPr>
            <w:tcW w:w="5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359,020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358,715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358,965</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358,655</w:t>
            </w: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359,619</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359,288</w:t>
            </w:r>
          </w:p>
        </w:tc>
        <w:tc>
          <w:tcPr>
            <w:tcW w:w="3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359,448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359,206</w:t>
            </w:r>
          </w:p>
        </w:tc>
      </w:tr>
      <w:tr>
        <w:trPr>
          <w:trHeight w:val="229"/>
        </w:trPr>
        <w:tc>
          <w:tcPr>
            <w:tcW w:w="51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Preferred shares</w:t>
            </w:r>
            <w:r>
              <w:rPr>
                <w:rFonts w:ascii="Arial" w:cs="Arial" w:eastAsia="Arial" w:hAnsi="Arial"/>
                <w:sz w:val="23"/>
                <w:szCs w:val="23"/>
                <w:color w:val="auto"/>
                <w:vertAlign w:val="superscript"/>
              </w:rPr>
              <w:t>(2)</w:t>
            </w:r>
          </w:p>
        </w:tc>
        <w:tc>
          <w:tcPr>
            <w:tcW w:w="17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r>
    </w:tbl>
    <w:p>
      <w:pPr>
        <w:spacing w:after="0" w:line="202" w:lineRule="exact"/>
        <w:rPr>
          <w:sz w:val="20"/>
          <w:szCs w:val="20"/>
          <w:color w:val="auto"/>
        </w:rPr>
      </w:pPr>
    </w:p>
    <w:p>
      <w:pPr>
        <w:ind w:left="20" w:right="340" w:firstLine="6"/>
        <w:spacing w:after="0" w:line="299"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$11.1 million of amortization of purchased intangibles (net of tax) at OSTTRA and $2.5 million of amortization of purchased intangibles at S&amp;P Dow Jones Indices LLC, reported in Equity in net earnings of unconsolidated subsidiaries on the Consolidated Statements of Income.</w:t>
      </w:r>
    </w:p>
    <w:p>
      <w:pPr>
        <w:ind w:left="200" w:hanging="174"/>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shares have similar rights as common shares without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2023-10-25T06:08:43Z</dcterms:created>
  <dcterms:modified xsi:type="dcterms:W3CDTF">2023-10-25T06:08:43Z</dcterms:modified>
</cp:coreProperties>
</file>