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2023</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45" w:lineRule="exact"/>
        <w:rPr>
          <w:sz w:val="24"/>
          <w:szCs w:val="24"/>
          <w:color w:val="auto"/>
        </w:rPr>
      </w:pPr>
    </w:p>
    <w:p>
      <w:pPr>
        <w:ind w:firstLine="162"/>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71"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34"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8" w:lineRule="exact"/>
        <w:rPr>
          <w:sz w:val="24"/>
          <w:szCs w:val="24"/>
          <w:color w:val="auto"/>
        </w:rPr>
      </w:pPr>
    </w:p>
    <w:p>
      <w:pPr>
        <w:jc w:val="both"/>
        <w:ind w:right="20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April 12, 2023 was as follows: 359,714,515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7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6"/>
                <w:szCs w:val="16"/>
                <w:color w:val="0000FF"/>
              </w:rPr>
              <w:t>Consolidated Balance Sheets at March 31, 2023 and December 31, 2022</w:t>
            </w:r>
          </w:p>
        </w:tc>
        <w:tc>
          <w:tcPr>
            <w:tcW w:w="4900" w:type="dxa"/>
            <w:vAlign w:val="bottom"/>
            <w:gridSpan w:val="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5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Ended March 31, 2023 and 2022</w:t>
            </w:r>
          </w:p>
        </w:tc>
        <w:tc>
          <w:tcPr>
            <w:tcW w:w="406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60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Ended March 31, 2023 and 2022</w:t>
            </w:r>
          </w:p>
        </w:tc>
        <w:tc>
          <w:tcPr>
            <w:tcW w:w="300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Ended March 31, 2023 and 2022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582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Quarters Ended March 31, 2023 and 2022</w:t>
            </w:r>
          </w:p>
        </w:tc>
        <w:tc>
          <w:tcPr>
            <w:tcW w:w="3780" w:type="dxa"/>
            <w:vAlign w:val="bottom"/>
            <w:gridSpan w:val="3"/>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5"/>
          </w:tcPr>
          <w:p>
            <w:pPr>
              <w:spacing w:after="0" w:line="20" w:lineRule="exact"/>
              <w:rPr>
                <w:sz w:val="1"/>
                <w:szCs w:val="1"/>
                <w:color w:val="auto"/>
              </w:rPr>
            </w:pPr>
          </w:p>
        </w:tc>
        <w:tc>
          <w:tcPr>
            <w:tcW w:w="3460" w:type="dxa"/>
            <w:vAlign w:val="bottom"/>
            <w:gridSpan w:val="2"/>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5"/>
          </w:tcPr>
          <w:p>
            <w:pPr>
              <w:spacing w:after="0"/>
              <w:rPr>
                <w:sz w:val="22"/>
                <w:szCs w:val="22"/>
                <w:color w:val="auto"/>
              </w:rPr>
            </w:pPr>
          </w:p>
        </w:tc>
        <w:tc>
          <w:tcPr>
            <w:tcW w:w="3460" w:type="dxa"/>
            <w:vAlign w:val="bottom"/>
            <w:gridSpan w:val="2"/>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5380" w:type="dxa"/>
            <w:vAlign w:val="bottom"/>
            <w:gridSpan w:val="12"/>
          </w:tcPr>
          <w:p>
            <w:pPr>
              <w:jc w:val="right"/>
              <w:ind w:right="78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0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30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10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94"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08"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 trademarks of New York Mercantile Exchange, Inc. COMEX is a trademark of Commodity Exchange, Inc. NEX, BrokerTec and EBS are trademarks of various entities of NEX Group Limited (NEX). Dow Jones, Dow Jones Industrial Average, S&amp;P 500 and S&amp;P are service and/or trademarks of Dow Jones Trademark Holdings LLC, Standard &amp; Poor's Financial Services LLC and S&amp;P/Dow Jones Indices LLC, as the case may be, and have been licensed for use by Chicago Mercantile Exchange Inc. ("CME"). All other trademarks are the property of their respective owners.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84" w:lineRule="exact"/>
        <w:rPr>
          <w:sz w:val="20"/>
          <w:szCs w:val="20"/>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117" w:lineRule="exact"/>
        <w:rPr>
          <w:rFonts w:ascii="Times New Roman" w:cs="Times New Roman" w:eastAsia="Times New Roman" w:hAnsi="Times New Roman"/>
          <w:sz w:val="18"/>
          <w:szCs w:val="18"/>
          <w:color w:val="auto"/>
        </w:rPr>
      </w:pPr>
    </w:p>
    <w:p>
      <w:pPr>
        <w:ind w:left="660" w:right="46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spacing w:after="0" w:line="31" w:lineRule="exact"/>
        <w:rPr>
          <w:rFonts w:ascii="Times New Roman" w:cs="Times New Roman" w:eastAsia="Times New Roman" w:hAnsi="Times New Roman"/>
          <w:sz w:val="17"/>
          <w:szCs w:val="17"/>
          <w:color w:val="auto"/>
        </w:rPr>
      </w:pPr>
    </w:p>
    <w:p>
      <w:pPr>
        <w:ind w:left="660" w:right="62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117" w:lineRule="exact"/>
        <w:rPr>
          <w:rFonts w:ascii="Times New Roman" w:cs="Times New Roman" w:eastAsia="Times New Roman" w:hAnsi="Times New Roman"/>
          <w:sz w:val="18"/>
          <w:szCs w:val="18"/>
          <w:color w:val="auto"/>
        </w:rPr>
      </w:pPr>
    </w:p>
    <w:p>
      <w:pPr>
        <w:ind w:left="660" w:right="160" w:hanging="328"/>
        <w:spacing w:after="0" w:line="312"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53" w:lineRule="exact"/>
        <w:rPr>
          <w:rFonts w:ascii="Times New Roman" w:cs="Times New Roman" w:eastAsia="Times New Roman" w:hAnsi="Times New Roman"/>
          <w:sz w:val="18"/>
          <w:szCs w:val="18"/>
          <w:color w:val="auto"/>
        </w:rPr>
      </w:pPr>
    </w:p>
    <w:p>
      <w:pPr>
        <w:ind w:left="660" w:right="4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credit spreads, equity indices, fixed income instruments and foreign exchange rates;</w:t>
      </w:r>
    </w:p>
    <w:p>
      <w:pPr>
        <w:spacing w:after="0" w:line="53"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 and response by governments and other third parties;</w:t>
      </w:r>
    </w:p>
    <w:p>
      <w:pPr>
        <w:spacing w:after="0" w:line="117" w:lineRule="exact"/>
        <w:rPr>
          <w:rFonts w:ascii="Times New Roman" w:cs="Times New Roman" w:eastAsia="Times New Roman" w:hAnsi="Times New Roman"/>
          <w:sz w:val="18"/>
          <w:szCs w:val="18"/>
          <w:color w:val="auto"/>
        </w:rPr>
      </w:pPr>
    </w:p>
    <w:p>
      <w:pPr>
        <w:ind w:left="660" w:right="78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transaction traffic and to implement enhancements without failure or degradation of the performance of our trading and clearing systems;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117" w:lineRule="exact"/>
        <w:rPr>
          <w:rFonts w:ascii="Times New Roman" w:cs="Times New Roman" w:eastAsia="Times New Roman" w:hAnsi="Times New Roman"/>
          <w:sz w:val="18"/>
          <w:szCs w:val="18"/>
          <w:color w:val="auto"/>
        </w:rPr>
      </w:pPr>
    </w:p>
    <w:p>
      <w:pPr>
        <w:ind w:left="660" w:right="40" w:hanging="328"/>
        <w:spacing w:after="0" w:line="289"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data distribution partners’ actions and our partnership with Google Cloud;</w:t>
      </w:r>
    </w:p>
    <w:p>
      <w:pPr>
        <w:spacing w:after="0" w:line="49" w:lineRule="exact"/>
        <w:rPr>
          <w:rFonts w:ascii="Times New Roman" w:cs="Times New Roman" w:eastAsia="Times New Roman" w:hAnsi="Times New Roman"/>
          <w:sz w:val="17"/>
          <w:szCs w:val="17"/>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 and incentive changes;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related to the adoption and growth of SOFR and its impact on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2022, filed with the Securities and Exchange Commission on February 27, 2023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2,720.1</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$8.8 and $8.1</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483.2</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$5.1 and $4.9 in restricted cash)</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135,249.2</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131,031.7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139,078.3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$1,175.4 and $1,145.2</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455.5</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r>
      <w:tr>
        <w:trPr>
          <w:trHeight w:val="229"/>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(includes $0.0 and $0.1 in restricted cash)</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3,714.4</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174,175.7</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121.4</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2,300.9</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128,090.7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135,249.2</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129,043.9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137,687.5</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3,422.4</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5,361.1</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826.0</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138,654.8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147,297.0</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March 31, 2023 and December 31,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2022; 4,584 issued and outstanding as of March 31, 2023 and December 31, 2022</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March 31, 2023 and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31, 2022; 358,931 and 358,929 shares issued and outstanding as of March 31, 2023 and</w:t>
            </w: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2022, respectively</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March 31,</w:t>
            </w: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2023 and December 31, 2022</w:t>
            </w:r>
          </w:p>
        </w:tc>
        <w:tc>
          <w:tcPr>
            <w:tcW w:w="220" w:type="dxa"/>
            <w:vAlign w:val="bottom"/>
          </w:tcPr>
          <w:p>
            <w:pPr>
              <w:spacing w:after="0"/>
              <w:rPr>
                <w:sz w:val="21"/>
                <w:szCs w:val="21"/>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22,281.5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22,261.6</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4,746.8</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26,878.7</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166,039.2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174,175.7</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8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60" w:type="dxa"/>
            <w:vAlign w:val="bottom"/>
          </w:tcPr>
          <w:p>
            <w:pPr>
              <w:spacing w:after="0"/>
              <w:rPr>
                <w:sz w:val="16"/>
                <w:szCs w:val="16"/>
                <w:color w:val="auto"/>
              </w:rPr>
            </w:pPr>
          </w:p>
        </w:tc>
      </w:tr>
      <w:tr>
        <w:trPr>
          <w:trHeight w:val="203"/>
        </w:trPr>
        <w:tc>
          <w:tcPr>
            <w:tcW w:w="8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Pr>
          <w:p>
            <w:pPr>
              <w:spacing w:after="0"/>
              <w:rPr>
                <w:sz w:val="17"/>
                <w:szCs w:val="17"/>
                <w:color w:val="auto"/>
              </w:rPr>
            </w:pPr>
          </w:p>
        </w:tc>
      </w:tr>
      <w:tr>
        <w:trPr>
          <w:trHeight w:val="23"/>
        </w:trPr>
        <w:tc>
          <w:tcPr>
            <w:tcW w:w="83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83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29"/>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0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859.1</w:t>
            </w:r>
          </w:p>
        </w:tc>
      </w:tr>
      <w:tr>
        <w:trPr>
          <w:trHeight w:val="162"/>
        </w:trPr>
        <w:tc>
          <w:tcPr>
            <w:tcW w:w="8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9"/>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23"/>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57.2</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916.3</w:t>
            </w:r>
          </w:p>
        </w:tc>
      </w:tr>
      <w:tr>
        <w:trPr>
          <w:trHeight w:val="230"/>
        </w:trPr>
        <w:tc>
          <w:tcPr>
            <w:tcW w:w="8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205.3</w:t>
            </w:r>
          </w:p>
        </w:tc>
      </w:tr>
      <w:tr>
        <w:trPr>
          <w:trHeight w:val="223"/>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r>
      <w:tr>
        <w:trPr>
          <w:trHeight w:val="223"/>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r>
      <w:tr>
        <w:trPr>
          <w:trHeight w:val="20"/>
        </w:trPr>
        <w:tc>
          <w:tcPr>
            <w:tcW w:w="83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7"/>
        </w:trPr>
        <w:tc>
          <w:tcPr>
            <w:tcW w:w="83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 Group:</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r>
      <w:tr>
        <w:trPr>
          <w:trHeight w:val="230"/>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30"/>
        </w:trPr>
        <w:tc>
          <w:tcPr>
            <w:tcW w:w="8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358,609</w:t>
            </w:r>
          </w:p>
        </w:tc>
      </w:tr>
      <w:tr>
        <w:trPr>
          <w:trHeight w:val="229"/>
        </w:trPr>
        <w:tc>
          <w:tcPr>
            <w:tcW w:w="8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359,180</w:t>
            </w: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90"/>
        </w:trPr>
        <w:tc>
          <w:tcPr>
            <w:tcW w:w="85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6"/>
                <w:szCs w:val="16"/>
                <w:color w:val="auto"/>
              </w:rPr>
            </w:pPr>
          </w:p>
        </w:tc>
      </w:tr>
      <w:tr>
        <w:trPr>
          <w:trHeight w:val="203"/>
        </w:trPr>
        <w:tc>
          <w:tcPr>
            <w:tcW w:w="85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4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Pr>
          <w:p>
            <w:pPr>
              <w:spacing w:after="0"/>
              <w:rPr>
                <w:sz w:val="17"/>
                <w:szCs w:val="17"/>
                <w:color w:val="auto"/>
              </w:rPr>
            </w:pPr>
          </w:p>
        </w:tc>
      </w:tr>
      <w:tr>
        <w:trPr>
          <w:trHeight w:val="23"/>
        </w:trPr>
        <w:tc>
          <w:tcPr>
            <w:tcW w:w="85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0"/>
        </w:trPr>
        <w:tc>
          <w:tcPr>
            <w:tcW w:w="85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29"/>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760" w:type="dxa"/>
            <w:vAlign w:val="bottom"/>
            <w:shd w:val="clear" w:color="auto" w:fill="CCEEFF"/>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883.8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r>
      <w:tr>
        <w:trPr>
          <w:trHeight w:val="229"/>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8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30"/>
        </w:trPr>
        <w:tc>
          <w:tcPr>
            <w:tcW w:w="85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7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Amortization of net actuarial (gains) losses included in compensation and benefits expense</w:t>
            </w:r>
          </w:p>
        </w:tc>
        <w:tc>
          <w:tcPr>
            <w:tcW w:w="76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r>
      <w:tr>
        <w:trPr>
          <w:trHeight w:val="223"/>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investments:</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Reclassification of net unrealized (gains) losses to interest expense and other non-operating income (expense)</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9"/>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r>
      <w:tr>
        <w:trPr>
          <w:trHeight w:val="223"/>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7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29"/>
        </w:trPr>
        <w:tc>
          <w:tcPr>
            <w:tcW w:w="8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85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7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23"/>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7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23"/>
        </w:trPr>
        <w:tc>
          <w:tcPr>
            <w:tcW w:w="85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760" w:type="dxa"/>
            <w:vAlign w:val="bottom"/>
            <w:tcBorders>
              <w:bottom w:val="single" w:sz="8" w:color="auto"/>
            </w:tcBorders>
          </w:tcPr>
          <w:p>
            <w:pPr>
              <w:jc w:val="right"/>
              <w:ind w:right="5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886.5</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685.5</w:t>
            </w:r>
          </w:p>
        </w:tc>
      </w:tr>
      <w:tr>
        <w:trPr>
          <w:trHeight w:val="20"/>
        </w:trPr>
        <w:tc>
          <w:tcPr>
            <w:tcW w:w="85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(dollars in millions, except per share data; shares in thousands)</w:t>
      </w:r>
    </w:p>
    <w:p>
      <w:pPr>
        <w:spacing w:after="0" w:line="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20" w:right="1060"/>
        <w:spacing w:after="0" w:line="276" w:lineRule="auto"/>
        <w:rPr>
          <w:sz w:val="20"/>
          <w:szCs w:val="20"/>
          <w:color w:val="auto"/>
        </w:rPr>
      </w:pPr>
      <w:r>
        <w:rPr>
          <w:rFonts w:ascii="Times New Roman" w:cs="Times New Roman" w:eastAsia="Times New Roman" w:hAnsi="Times New Roman"/>
          <w:sz w:val="18"/>
          <w:szCs w:val="18"/>
          <w:color w:val="auto"/>
        </w:rPr>
        <w:t>Balance at December 31, 2022 Net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$1.10 per share</w:t>
      </w:r>
    </w:p>
    <w:p>
      <w:pPr>
        <w:spacing w:after="0" w:line="10"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20" w:right="124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March 31, 2023</w:t>
      </w:r>
    </w:p>
    <w:p>
      <w:pPr>
        <w:spacing w:after="0" w:line="20" w:lineRule="exact"/>
        <w:rPr>
          <w:sz w:val="20"/>
          <w:szCs w:val="20"/>
          <w:color w:val="auto"/>
        </w:rPr>
      </w:pPr>
      <w:r>
        <w:rPr>
          <w:sz w:val="20"/>
          <w:szCs w:val="20"/>
          <w:color w:val="auto"/>
        </w:rPr>
        <w:br w:type="column"/>
      </w: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1020" w:type="dxa"/>
            <w:vAlign w:val="bottom"/>
            <w:gridSpan w:val="2"/>
            <w:vMerge w:val="continue"/>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center"/>
              <w:ind w:right="260"/>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980" w:type="dxa"/>
            <w:vAlign w:val="bottom"/>
            <w:gridSpan w:val="2"/>
            <w:vMerge w:val="continue"/>
          </w:tcPr>
          <w:p>
            <w:pPr>
              <w:spacing w:after="0"/>
              <w:rPr>
                <w:sz w:val="12"/>
                <w:szCs w:val="12"/>
                <w:color w:val="auto"/>
              </w:rPr>
            </w:pPr>
          </w:p>
        </w:tc>
        <w:tc>
          <w:tcPr>
            <w:tcW w:w="102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2"/>
                <w:szCs w:val="12"/>
                <w:color w:val="auto"/>
              </w:rPr>
            </w:pPr>
          </w:p>
        </w:tc>
        <w:tc>
          <w:tcPr>
            <w:tcW w:w="8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8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6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2"/>
                <w:szCs w:val="12"/>
                <w:color w:val="auto"/>
              </w:rPr>
            </w:pPr>
          </w:p>
        </w:tc>
        <w:tc>
          <w:tcPr>
            <w:tcW w:w="1060" w:type="dxa"/>
            <w:vAlign w:val="bottom"/>
          </w:tcPr>
          <w:p>
            <w:pPr>
              <w:jc w:val="right"/>
              <w:ind w:right="94"/>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8"/>
        </w:trPr>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7"/>
                <w:szCs w:val="17"/>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40" w:type="dxa"/>
            <w:vAlign w:val="bottom"/>
          </w:tcPr>
          <w:p>
            <w:pPr>
              <w:spacing w:after="0"/>
              <w:rPr>
                <w:sz w:val="17"/>
                <w:szCs w:val="17"/>
                <w:color w:val="auto"/>
              </w:rPr>
            </w:pP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7"/>
                <w:szCs w:val="17"/>
                <w:color w:val="auto"/>
              </w:rPr>
            </w:pPr>
          </w:p>
        </w:tc>
        <w:tc>
          <w:tcPr>
            <w:tcW w:w="1060" w:type="dxa"/>
            <w:vAlign w:val="bottom"/>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3"/>
        </w:trPr>
        <w:tc>
          <w:tcPr>
            <w:tcW w:w="90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4,746.8</w:t>
            </w:r>
          </w:p>
        </w:tc>
        <w:tc>
          <w:tcPr>
            <w:tcW w:w="10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1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26,878.7</w:t>
            </w:r>
          </w:p>
        </w:tc>
        <w:tc>
          <w:tcPr>
            <w:tcW w:w="0" w:type="dxa"/>
            <w:vAlign w:val="bottom"/>
          </w:tcPr>
          <w:p>
            <w:pPr>
              <w:spacing w:after="0"/>
              <w:rPr>
                <w:sz w:val="1"/>
                <w:szCs w:val="1"/>
                <w:color w:val="auto"/>
              </w:rPr>
            </w:pPr>
          </w:p>
        </w:tc>
      </w:tr>
      <w:tr>
        <w:trPr>
          <w:trHeight w:val="230"/>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(400.7)</w:t>
            </w:r>
          </w:p>
        </w:tc>
        <w:tc>
          <w:tcPr>
            <w:tcW w:w="0" w:type="dxa"/>
            <w:vAlign w:val="bottom"/>
          </w:tcPr>
          <w:p>
            <w:pPr>
              <w:spacing w:after="0"/>
              <w:rPr>
                <w:sz w:val="1"/>
                <w:szCs w:val="1"/>
                <w:color w:val="auto"/>
              </w:rPr>
            </w:pPr>
          </w:p>
        </w:tc>
      </w:tr>
      <w:tr>
        <w:trPr>
          <w:trHeight w:val="414"/>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34"/>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0" w:type="dxa"/>
            <w:vAlign w:val="bottom"/>
          </w:tcPr>
          <w:p>
            <w:pPr>
              <w:spacing w:after="0"/>
              <w:rPr>
                <w:sz w:val="1"/>
                <w:szCs w:val="1"/>
                <w:color w:val="auto"/>
              </w:rPr>
            </w:pPr>
          </w:p>
        </w:tc>
      </w:tr>
      <w:tr>
        <w:trPr>
          <w:trHeight w:val="223"/>
        </w:trPr>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358,931</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22,285.1</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100" w:type="dxa"/>
            <w:vAlign w:val="bottom"/>
          </w:tcPr>
          <w:p>
            <w:pPr>
              <w:spacing w:after="0"/>
              <w:rPr>
                <w:sz w:val="19"/>
                <w:szCs w:val="19"/>
                <w:color w:val="auto"/>
              </w:rPr>
            </w:pPr>
          </w:p>
        </w:tc>
        <w:tc>
          <w:tcPr>
            <w:tcW w:w="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27,384.4</w:t>
            </w:r>
          </w:p>
        </w:tc>
        <w:tc>
          <w:tcPr>
            <w:tcW w:w="0" w:type="dxa"/>
            <w:vAlign w:val="bottom"/>
          </w:tcPr>
          <w:p>
            <w:pPr>
              <w:spacing w:after="0"/>
              <w:rPr>
                <w:sz w:val="1"/>
                <w:szCs w:val="1"/>
                <w:color w:val="auto"/>
              </w:rPr>
            </w:pPr>
          </w:p>
        </w:tc>
      </w:tr>
      <w:tr>
        <w:trPr>
          <w:trHeight w:val="21"/>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-1310640</wp:posOffset>
            </wp:positionV>
            <wp:extent cx="7132320" cy="1543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-1010920</wp:posOffset>
            </wp:positionV>
            <wp:extent cx="7132320" cy="145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-599440</wp:posOffset>
            </wp:positionV>
            <wp:extent cx="7132320" cy="2654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-187960</wp:posOffset>
            </wp:positionV>
            <wp:extent cx="71323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3300" w:space="160"/>
            <w:col w:w="7780"/>
          </w:cols>
          <w:pgMar w:left="320" w:top="121" w:right="339" w:bottom="1440" w:gutter="0" w:footer="0" w:header="0"/>
          <w:type w:val="continuous"/>
        </w:sect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left="3060"/>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28" w:lineRule="exact"/>
        <w:rPr>
          <w:sz w:val="20"/>
          <w:szCs w:val="20"/>
          <w:color w:val="auto"/>
        </w:rPr>
      </w:pPr>
    </w:p>
    <w:tbl>
      <w:tblPr>
        <w:tblLayout w:type="fixed"/>
        <w:tblInd w:w="3420"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80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82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0" w:type="dxa"/>
            <w:vAlign w:val="bottom"/>
          </w:tcPr>
          <w:p>
            <w:pPr>
              <w:spacing w:after="0"/>
              <w:rPr>
                <w:sz w:val="1"/>
                <w:szCs w:val="1"/>
                <w:color w:val="auto"/>
              </w:rPr>
            </w:pPr>
          </w:p>
        </w:tc>
      </w:tr>
      <w:tr>
        <w:trPr>
          <w:trHeight w:val="148"/>
        </w:trPr>
        <w:tc>
          <w:tcPr>
            <w:tcW w:w="800" w:type="dxa"/>
            <w:vAlign w:val="bottom"/>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8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w w:val="99"/>
              </w:rPr>
              <w:t>Earnings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80" w:type="dxa"/>
            <w:vAlign w:val="bottom"/>
            <w:vMerge w:val="restart"/>
          </w:tcPr>
          <w:p>
            <w:pPr>
              <w:jc w:val="center"/>
              <w:ind w:left="8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1120" w:type="dxa"/>
            <w:vAlign w:val="bottom"/>
          </w:tcPr>
          <w:p>
            <w:pPr>
              <w:jc w:val="center"/>
              <w:ind w:right="68"/>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120" w:type="dxa"/>
            <w:vAlign w:val="bottom"/>
          </w:tcPr>
          <w:p>
            <w:pPr>
              <w:jc w:val="center"/>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80" w:type="dxa"/>
            <w:vAlign w:val="bottom"/>
          </w:tcPr>
          <w:p>
            <w:pPr>
              <w:jc w:val="center"/>
              <w:ind w:left="8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0"/>
        </w:trPr>
        <w:tc>
          <w:tcPr>
            <w:tcW w:w="1120" w:type="dxa"/>
            <w:vAlign w:val="bottom"/>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28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3" w:lineRule="exact"/>
        <w:rPr>
          <w:sz w:val="20"/>
          <w:szCs w:val="20"/>
          <w:color w:val="auto"/>
        </w:rPr>
      </w:pPr>
    </w:p>
    <w:p>
      <w:pPr>
        <w:sectPr>
          <w:pgSz w:w="11900" w:h="16838" w:orient="portrait"/>
          <w:cols w:equalWidth="0" w:num="2">
            <w:col w:w="8180" w:space="460"/>
            <w:col w:w="2420"/>
          </w:cols>
          <w:pgMar w:left="320" w:top="121" w:right="519" w:bottom="1440" w:gutter="0" w:footer="0" w:header="0"/>
        </w:sectPr>
      </w:pPr>
    </w:p>
    <w:p>
      <w:pPr>
        <w:spacing w:after="0" w:line="4" w:lineRule="exact"/>
        <w:rPr>
          <w:sz w:val="20"/>
          <w:szCs w:val="20"/>
          <w:color w:val="auto"/>
        </w:rPr>
      </w:pPr>
    </w:p>
    <w:p>
      <w:pPr>
        <w:ind w:left="200" w:right="760"/>
        <w:spacing w:after="0" w:line="276" w:lineRule="auto"/>
        <w:rPr>
          <w:sz w:val="20"/>
          <w:szCs w:val="20"/>
          <w:color w:val="auto"/>
        </w:rPr>
      </w:pPr>
      <w:r>
        <w:rPr>
          <w:rFonts w:ascii="Times New Roman" w:cs="Times New Roman" w:eastAsia="Times New Roman" w:hAnsi="Times New Roman"/>
          <w:sz w:val="18"/>
          <w:szCs w:val="18"/>
          <w:color w:val="auto"/>
        </w:rPr>
        <w:t>Balance at December 31, 2021 Net income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0"/>
        <w:spacing w:after="0" w:line="234" w:lineRule="auto"/>
        <w:rPr>
          <w:sz w:val="20"/>
          <w:szCs w:val="20"/>
          <w:color w:val="auto"/>
        </w:rPr>
      </w:pPr>
      <w:r>
        <w:rPr>
          <w:rFonts w:ascii="Times New Roman" w:cs="Times New Roman" w:eastAsia="Times New Roman" w:hAnsi="Times New Roman"/>
          <w:sz w:val="18"/>
          <w:szCs w:val="18"/>
          <w:color w:val="auto"/>
        </w:rPr>
        <w:t>Dividends on common stock of $1.00 per share</w:t>
      </w:r>
    </w:p>
    <w:p>
      <w:pPr>
        <w:spacing w:after="0" w:line="10" w:lineRule="exact"/>
        <w:rPr>
          <w:sz w:val="20"/>
          <w:szCs w:val="20"/>
          <w:color w:val="auto"/>
        </w:rPr>
      </w:pPr>
    </w:p>
    <w:p>
      <w:pPr>
        <w:ind w:left="200" w:right="42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200" w:right="420"/>
        <w:spacing w:after="0" w:line="268" w:lineRule="auto"/>
        <w:rPr>
          <w:sz w:val="20"/>
          <w:szCs w:val="20"/>
          <w:color w:val="auto"/>
        </w:rPr>
      </w:pPr>
      <w:r>
        <w:rPr>
          <w:rFonts w:ascii="Times New Roman" w:cs="Times New Roman" w:eastAsia="Times New Roman" w:hAnsi="Times New Roman"/>
          <w:sz w:val="18"/>
          <w:szCs w:val="18"/>
          <w:color w:val="auto"/>
        </w:rPr>
        <w:t>Shares issued to Board of Directors Stock-based compensation</w:t>
      </w:r>
    </w:p>
    <w:p>
      <w:pPr>
        <w:spacing w:after="0" w:line="2"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Balance at March 31, 2022</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358,599</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22,193.9</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5,151.9</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27,399.3</w:t>
            </w:r>
          </w:p>
        </w:tc>
      </w:tr>
      <w:tr>
        <w:trPr>
          <w:trHeight w:val="229"/>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r>
      <w:tr>
        <w:trPr>
          <w:trHeight w:val="234"/>
        </w:trPr>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20" w:type="dxa"/>
            <w:vAlign w:val="bottom"/>
          </w:tcPr>
          <w:p>
            <w:pPr>
              <w:jc w:val="center"/>
              <w:ind w:left="250"/>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419"/>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(364.0)</w:t>
            </w:r>
          </w:p>
        </w:tc>
      </w:tr>
      <w:tr>
        <w:trPr>
          <w:trHeight w:val="414"/>
        </w:trPr>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34"/>
        </w:trPr>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358,631</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22,209.9</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5,498.9</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27,736.8</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-1952625</wp:posOffset>
            </wp:positionH>
            <wp:positionV relativeFrom="paragraph">
              <wp:posOffset>-1456690</wp:posOffset>
            </wp:positionV>
            <wp:extent cx="6909435" cy="1543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-1156970</wp:posOffset>
            </wp:positionV>
            <wp:extent cx="6909435"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09435" cy="14541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-745490</wp:posOffset>
            </wp:positionV>
            <wp:extent cx="6909435" cy="2660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09435" cy="266065"/>
                    </a:xfrm>
                    <a:prstGeom prst="rect">
                      <a:avLst/>
                    </a:prstGeom>
                    <a:noFill/>
                  </pic:spPr>
                </pic:pic>
              </a:graphicData>
            </a:graphic>
          </wp:anchor>
        </w:drawing>
        <w:drawing>
          <wp:anchor simplePos="0" relativeHeight="251657728" behindDoc="1" locked="0" layoutInCell="0" allowOverlap="1">
            <wp:simplePos x="0" y="0"/>
            <wp:positionH relativeFrom="column">
              <wp:posOffset>-1952625</wp:posOffset>
            </wp:positionH>
            <wp:positionV relativeFrom="paragraph">
              <wp:posOffset>-334010</wp:posOffset>
            </wp:positionV>
            <wp:extent cx="6909435"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0943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180" w:space="80"/>
            <w:col w:w="7800"/>
          </w:cols>
          <w:pgMar w:left="320" w:top="121" w:right="519" w:bottom="1440" w:gutter="0" w:footer="0" w:header="0"/>
          <w:type w:val="continuous"/>
        </w:sectPr>
      </w:pPr>
    </w:p>
    <w:p>
      <w:pPr>
        <w:spacing w:after="0" w:line="362"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165.9</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606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15175" cy="266065"/>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154305"/>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0.7</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(0.3)</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(15.2)</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(2.4)</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24765</wp:posOffset>
            </wp:positionV>
            <wp:extent cx="8655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55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2.7</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(2.2)</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(23.4)</w:t>
      </w:r>
    </w:p>
    <w:p>
      <w:pPr>
        <w:spacing w:after="0" w:line="27"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17145</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debt, net of issuance costs</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742.7</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including call premium</w:t>
            </w: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(756.1)</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(2,035.6)</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(1,543.5)</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(7,158.5)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9,787.1</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(9,198.5)</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8,221.6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4"/>
          <w:szCs w:val="14"/>
          <w:b w:val="1"/>
          <w:bCs w:val="1"/>
          <w:color w:val="auto"/>
        </w:rPr>
        <w:t>Quarter Ended</w:t>
      </w:r>
    </w:p>
    <w:p>
      <w:pPr>
        <w:spacing w:after="0" w:line="6" w:lineRule="exact"/>
        <w:rPr>
          <w:sz w:val="20"/>
          <w:szCs w:val="20"/>
          <w:color w:val="auto"/>
        </w:rPr>
      </w:pPr>
    </w:p>
    <w:p>
      <w:pPr>
        <w:ind w:left="95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(8,313.3)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8,997.8</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160,789.9</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129,661.0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169,787.7</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1,565.2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2,045.7</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restricted cash</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128,090.7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167,736.7</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129,661.0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169,787.7</w:t>
            </w:r>
          </w:p>
        </w:tc>
      </w:tr>
      <w:tr>
        <w:trPr>
          <w:trHeight w:val="20"/>
        </w:trPr>
        <w:tc>
          <w:tcPr>
            <w:tcW w:w="83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23"/>
        </w:trPr>
        <w:tc>
          <w:tcPr>
            <w:tcW w:w="83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4"/>
        </w:trPr>
        <w:tc>
          <w:tcPr>
            <w:tcW w:w="83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proceeds from sale of investments</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March 31, 2023 and December 31, 2022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2022, filed with the Securities and Exchange Commission (SEC) on February 27,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electronic trading fees and brokerage commissions, surcharges for privately-negotiated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portfolio reconciliation and compression services,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collateral management, equity membership subscription fees, and fees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collateral on deposit with the clearing house to meet their minimum performance bond and guaranty fund obligations on the exchange. These fees are calculated based on daily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 ended March 31, 2023 and 2022:</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00" w:type="dxa"/>
            <w:vAlign w:val="bottom"/>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194"/>
        </w:trPr>
        <w:tc>
          <w:tcPr>
            <w:tcW w:w="90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r>
      <w:tr>
        <w:trPr>
          <w:trHeight w:val="196"/>
        </w:trPr>
        <w:tc>
          <w:tcPr>
            <w:tcW w:w="9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374.8</w:t>
            </w: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259.1</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175.2</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r>
      <w:tr>
        <w:trPr>
          <w:trHeight w:val="230"/>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29"/>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4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1,138.1</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w:t>
            </w:r>
          </w:p>
        </w:tc>
      </w:tr>
      <w:tr>
        <w:trPr>
          <w:trHeight w:val="230"/>
        </w:trPr>
        <w:tc>
          <w:tcPr>
            <w:tcW w:w="9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56.8</w:t>
            </w:r>
          </w:p>
        </w:tc>
      </w:tr>
      <w:tr>
        <w:trPr>
          <w:trHeight w:val="248"/>
        </w:trPr>
        <w:tc>
          <w:tcPr>
            <w:tcW w:w="9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906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00" w:type="dxa"/>
            <w:vAlign w:val="bottom"/>
          </w:tcPr>
          <w:p>
            <w:pPr>
              <w:spacing w:after="0"/>
              <w:rPr>
                <w:sz w:val="8"/>
                <w:szCs w:val="8"/>
                <w:color w:val="auto"/>
              </w:rPr>
            </w:pP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r>
      <w:tr>
        <w:trPr>
          <w:trHeight w:val="230"/>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1,177.5</w:t>
            </w:r>
          </w:p>
        </w:tc>
        <w:tc>
          <w:tcPr>
            <w:tcW w:w="14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1,077.3</w:t>
            </w:r>
          </w:p>
        </w:tc>
      </w:tr>
      <w:tr>
        <w:trPr>
          <w:trHeight w:val="229"/>
        </w:trPr>
        <w:tc>
          <w:tcPr>
            <w:tcW w:w="9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w:t>
            </w:r>
          </w:p>
        </w:tc>
      </w:tr>
      <w:tr>
        <w:trPr>
          <w:trHeight w:val="229"/>
        </w:trPr>
        <w:tc>
          <w:tcPr>
            <w:tcW w:w="9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4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48"/>
        </w:trPr>
        <w:tc>
          <w:tcPr>
            <w:tcW w:w="9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1,346.6</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three months ended March 31, 2023 were not materially impacted by any other factors. The balance of contract liabilities was $50.8 million and $12.7 million as of March 31, 2023 and December 31, 2022,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Performance Bonds and Guaranty Fund Contributions</w:t>
      </w:r>
    </w:p>
    <w:p>
      <w:pPr>
        <w:spacing w:after="0" w:line="119" w:lineRule="exact"/>
        <w:rPr>
          <w:sz w:val="20"/>
          <w:szCs w:val="20"/>
          <w:color w:val="auto"/>
        </w:rPr>
      </w:pPr>
    </w:p>
    <w:p>
      <w:pPr>
        <w:ind w:right="2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March 31, 2023, CME maintained $117.5 billion within the cash account at the Federal Reserve Bank of Chicago. The cash deposit at the Federal Reserve Bank of Chicago is included within performance bonds and guaranty fund contributions on the consolidated balance sheets.</w:t>
      </w:r>
    </w:p>
    <w:p>
      <w:pPr>
        <w:spacing w:after="0" w:line="76"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In the first quarter of 2023 and 2022, earnings from cash performance bond and guaranty fund contributions were $1,256.3 million and $73.6 million, respectively. In the first quarter of 2023 and 2022, expense related to the distribution of interest earned on collateral reinvestments was $1,163.5 million and $48.4 million,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a day (twice a day for all futures and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Based on values derived from the mark-to-market process, the clearing house requires payments 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fair value of all open positions, before considering the clearing house's ability to access defaulting clearing firms' collateral deposits.</w:t>
      </w:r>
    </w:p>
    <w:p>
      <w:pPr>
        <w:spacing w:after="0" w:line="117"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54"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During the first quarter of 2023, the clearing house transferred an average of approximately $5.7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March 31, 2023 and December 31, 2022.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March 31, 2023 and December 31, 2022:</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March 31, 2023</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December 31, 2022</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84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Clearing firm, market data and other customer relationships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4,691.3</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(1,964.2)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2,727.1</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4,685.8</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(1,909.7)</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2,776.1</w:t>
            </w:r>
          </w:p>
        </w:tc>
        <w:tc>
          <w:tcPr>
            <w:tcW w:w="0" w:type="dxa"/>
            <w:vAlign w:val="bottom"/>
          </w:tcPr>
          <w:p>
            <w:pPr>
              <w:spacing w:after="0"/>
              <w:rPr>
                <w:sz w:val="1"/>
                <w:szCs w:val="1"/>
                <w:color w:val="auto"/>
              </w:rPr>
            </w:pPr>
          </w:p>
        </w:tc>
      </w:tr>
      <w:tr>
        <w:trPr>
          <w:trHeight w:val="233"/>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Technology-related intellectual property</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(55.8)</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70.4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w:t>
            </w:r>
          </w:p>
        </w:tc>
        <w:tc>
          <w:tcPr>
            <w:tcW w:w="0" w:type="dxa"/>
            <w:vAlign w:val="bottom"/>
          </w:tcPr>
          <w:p>
            <w:pPr>
              <w:spacing w:after="0"/>
              <w:rPr>
                <w:sz w:val="1"/>
                <w:szCs w:val="1"/>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4,824.2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(2,056.8)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4,817.8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2,819.7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3,217.4</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3,269.7</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Trading products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0" w:type="dxa"/>
            <w:vAlign w:val="bottom"/>
          </w:tcPr>
          <w:p>
            <w:pPr>
              <w:spacing w:after="0"/>
              <w:rPr>
                <w:sz w:val="1"/>
                <w:szCs w:val="1"/>
                <w:color w:val="auto"/>
              </w:rPr>
            </w:pPr>
          </w:p>
        </w:tc>
      </w:tr>
      <w:tr>
        <w:trPr>
          <w:trHeight w:val="21"/>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40" w:hanging="328"/>
        <w:spacing w:after="0" w:line="269"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intangible assets was $56.8 million and $58.4 million for the quarters ended March 31, 2023 and 2022, respectively.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2023,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60" w:type="dxa"/>
            <w:vAlign w:val="bottom"/>
          </w:tcPr>
          <w:p>
            <w:pPr>
              <w:spacing w:after="0"/>
              <w:rPr>
                <w:sz w:val="16"/>
                <w:szCs w:val="16"/>
                <w:color w:val="auto"/>
              </w:rPr>
            </w:pPr>
          </w:p>
        </w:tc>
        <w:tc>
          <w:tcPr>
            <w:tcW w:w="196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Amortization Expense</w:t>
            </w:r>
          </w:p>
        </w:tc>
      </w:tr>
      <w:tr>
        <w:trPr>
          <w:trHeight w:val="23"/>
        </w:trPr>
        <w:tc>
          <w:tcPr>
            <w:tcW w:w="5220" w:type="dxa"/>
            <w:vAlign w:val="bottom"/>
            <w:tcBorders>
              <w:bottom w:val="single" w:sz="8" w:color="auto"/>
            </w:tcBorders>
          </w:tcPr>
          <w:p>
            <w:pPr>
              <w:spacing w:after="0"/>
              <w:rPr>
                <w:sz w:val="2"/>
                <w:szCs w:val="2"/>
                <w:color w:val="auto"/>
              </w:rPr>
            </w:pPr>
          </w:p>
        </w:tc>
        <w:tc>
          <w:tcPr>
            <w:tcW w:w="406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40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220.5</w:t>
            </w: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w:t>
            </w: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1,496.2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March 31, 2023 and December 31, 2022</w:t>
      </w:r>
      <w:r>
        <w:rPr>
          <w:rFonts w:ascii="Times New Roman" w:cs="Times New Roman" w:eastAsia="Times New Roman" w:hAnsi="Times New Roman"/>
          <w:sz w:val="16"/>
          <w:szCs w:val="16"/>
          <w:color w:val="auto"/>
        </w:rPr>
        <w:t>:</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3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Other</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Balance at March 31,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Activity </w:t>
            </w:r>
            <w:r>
              <w:rPr>
                <w:rFonts w:ascii="Times New Roman" w:cs="Times New Roman" w:eastAsia="Times New Roman" w:hAnsi="Times New Roman"/>
                <w:sz w:val="18"/>
                <w:szCs w:val="18"/>
                <w:b w:val="1"/>
                <w:bCs w:val="1"/>
                <w:color w:val="auto"/>
                <w:w w:val="95"/>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 Holdings</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2,921.5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10,490.5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65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9"/>
                <w:szCs w:val="9"/>
                <w:color w:val="auto"/>
              </w:rPr>
            </w:pPr>
          </w:p>
        </w:tc>
        <w:tc>
          <w:tcPr>
            <w:tcW w:w="1320" w:type="dxa"/>
            <w:vAlign w:val="bottom"/>
            <w:gridSpan w:val="2"/>
          </w:tcPr>
          <w:p>
            <w:pPr>
              <w:jc w:val="center"/>
              <w:ind w:right="30"/>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20" w:type="dxa"/>
            <w:vAlign w:val="bottom"/>
          </w:tcPr>
          <w:p>
            <w:pPr>
              <w:jc w:val="center"/>
              <w:ind w:right="33"/>
              <w:spacing w:after="0" w:line="109" w:lineRule="exact"/>
              <w:rPr>
                <w:sz w:val="20"/>
                <w:szCs w:val="20"/>
                <w:color w:val="auto"/>
              </w:rPr>
            </w:pPr>
            <w:r>
              <w:rPr>
                <w:rFonts w:ascii="Times New Roman" w:cs="Times New Roman" w:eastAsia="Times New Roman" w:hAnsi="Times New Roman"/>
                <w:sz w:val="12"/>
                <w:szCs w:val="12"/>
                <w:b w:val="1"/>
                <w:bCs w:val="1"/>
                <w:color w:val="auto"/>
              </w:rPr>
              <w:t>Balance at</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6520" w:type="dxa"/>
            <w:vAlign w:val="bottom"/>
            <w:tcBorders>
              <w:bottom w:val="single" w:sz="8" w:color="auto"/>
            </w:tcBorders>
            <w:vMerge w:val="continue"/>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center"/>
              <w:spacing w:after="0" w:line="202" w:lineRule="exact"/>
              <w:rPr>
                <w:sz w:val="20"/>
                <w:szCs w:val="20"/>
                <w:color w:val="auto"/>
              </w:rPr>
            </w:pPr>
            <w:r>
              <w:rPr>
                <w:rFonts w:ascii="Times New Roman" w:cs="Times New Roman" w:eastAsia="Times New Roman" w:hAnsi="Times New Roman"/>
                <w:sz w:val="14"/>
                <w:szCs w:val="14"/>
                <w:b w:val="1"/>
                <w:bCs w:val="1"/>
                <w:color w:val="auto"/>
                <w:w w:val="95"/>
              </w:rPr>
              <w:t xml:space="preserve">Activity </w:t>
            </w:r>
            <w:r>
              <w:rPr>
                <w:rFonts w:ascii="Times New Roman" w:cs="Times New Roman" w:eastAsia="Times New Roman" w:hAnsi="Times New Roman"/>
                <w:sz w:val="18"/>
                <w:szCs w:val="18"/>
                <w:b w:val="1"/>
                <w:bCs w:val="1"/>
                <w:color w:val="auto"/>
                <w:w w:val="95"/>
                <w:vertAlign w:val="superscript"/>
              </w:rPr>
              <w:t>(1)</w:t>
            </w: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center"/>
              <w:ind w:right="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CBOT Holdings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46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spacing w:after="0"/>
              <w:rPr>
                <w:sz w:val="19"/>
                <w:szCs w:val="19"/>
                <w:color w:val="auto"/>
              </w:rPr>
            </w:pPr>
          </w:p>
        </w:tc>
        <w:tc>
          <w:tcPr>
            <w:tcW w:w="3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NYMEX Holdings</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NEX</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2,959.0</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2,913.5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Goodwill</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10,528.0</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gridSpan w:val="4"/>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6"/>
                <w:szCs w:val="16"/>
                <w:color w:val="auto"/>
              </w:rPr>
              <w:t>__________</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9"/>
        </w:trPr>
        <w:tc>
          <w:tcPr>
            <w:tcW w:w="6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520" w:type="dxa"/>
            <w:vAlign w:val="bottom"/>
          </w:tcPr>
          <w:p>
            <w:pPr>
              <w:spacing w:after="0"/>
              <w:rPr>
                <w:sz w:val="20"/>
                <w:szCs w:val="20"/>
                <w:color w:val="auto"/>
              </w:rPr>
            </w:pPr>
            <w:r>
              <w:rPr>
                <w:rFonts w:ascii="Times New Roman" w:cs="Times New Roman" w:eastAsia="Times New Roman" w:hAnsi="Times New Roman"/>
                <w:sz w:val="16"/>
                <w:szCs w:val="16"/>
                <w:color w:val="auto"/>
              </w:rPr>
              <w:t>(1) Other activity includes currency translation adjustments.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0"/>
        </w:trPr>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5. Debt</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consisted of the following at March 31, 2023 and December 31, 2022:</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 million fixed rate notes due May 2023, stated rate of 4.30%</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6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60" w:type="dxa"/>
            <w:vAlign w:val="bottom"/>
            <w:tcBorders>
              <w:top w:val="single" w:sz="8" w:color="auto"/>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Long-term debt consisted of the following at March 31, 2023 and December 31, 2022:</w:t>
            </w: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85"/>
        </w:trPr>
        <w:tc>
          <w:tcPr>
            <w:tcW w:w="652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0"/>
        </w:trPr>
        <w:tc>
          <w:tcPr>
            <w:tcW w:w="6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3"/>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652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1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748.6</w:t>
            </w:r>
          </w:p>
        </w:tc>
        <w:tc>
          <w:tcPr>
            <w:tcW w:w="38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748.4</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742.0</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2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(2)</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1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690.9</w:t>
            </w:r>
          </w:p>
        </w:tc>
        <w:tc>
          <w:tcPr>
            <w:tcW w:w="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3,423.1</w:t>
            </w:r>
          </w:p>
        </w:tc>
        <w:tc>
          <w:tcPr>
            <w:tcW w:w="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3,422.4</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6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60" w:right="20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3" w:lineRule="exact"/>
        <w:rPr>
          <w:rFonts w:ascii="Times New Roman" w:cs="Times New Roman" w:eastAsia="Times New Roman" w:hAnsi="Times New Roman"/>
          <w:sz w:val="18"/>
          <w:szCs w:val="18"/>
          <w:color w:val="auto"/>
        </w:rPr>
      </w:pPr>
    </w:p>
    <w:p>
      <w:pPr>
        <w:ind w:left="660" w:right="20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(in U.S. dollar equivalent), were as follows at March 31, 2023:</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7000" w:type="dxa"/>
            <w:vAlign w:val="bottom"/>
          </w:tcPr>
          <w:p>
            <w:pPr>
              <w:spacing w:after="0"/>
              <w:rPr>
                <w:sz w:val="16"/>
                <w:szCs w:val="16"/>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3160" w:type="dxa"/>
            <w:vAlign w:val="bottom"/>
          </w:tcPr>
          <w:p>
            <w:pPr>
              <w:spacing w:after="0"/>
              <w:rPr>
                <w:sz w:val="2"/>
                <w:szCs w:val="2"/>
                <w:color w:val="auto"/>
              </w:rPr>
            </w:pPr>
          </w:p>
        </w:tc>
        <w:tc>
          <w:tcPr>
            <w:tcW w:w="70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r>
      <w:tr>
        <w:trPr>
          <w:trHeight w:val="223"/>
        </w:trPr>
        <w:tc>
          <w:tcPr>
            <w:tcW w:w="3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70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7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40" w:type="dxa"/>
            <w:vAlign w:val="bottom"/>
          </w:tcPr>
          <w:p>
            <w:pPr>
              <w:spacing w:after="0"/>
              <w:rPr>
                <w:sz w:val="19"/>
                <w:szCs w:val="19"/>
                <w:color w:val="auto"/>
              </w:rPr>
            </w:pPr>
          </w:p>
        </w:tc>
      </w:tr>
      <w:tr>
        <w:trPr>
          <w:trHeight w:val="230"/>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7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0"/>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70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70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34"/>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70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2,700.0</w:t>
            </w:r>
          </w:p>
        </w:tc>
        <w:tc>
          <w:tcPr>
            <w:tcW w:w="40" w:type="dxa"/>
            <w:vAlign w:val="bottom"/>
          </w:tcPr>
          <w:p>
            <w:pPr>
              <w:spacing w:after="0"/>
              <w:rPr>
                <w:sz w:val="20"/>
                <w:szCs w:val="20"/>
                <w:color w:val="auto"/>
              </w:rPr>
            </w:pPr>
          </w:p>
        </w:tc>
      </w:tr>
      <w:tr>
        <w:trPr>
          <w:trHeight w:val="873"/>
        </w:trPr>
        <w:tc>
          <w:tcPr>
            <w:tcW w:w="3160" w:type="dxa"/>
            <w:vAlign w:val="bottom"/>
          </w:tcPr>
          <w:p>
            <w:pPr>
              <w:spacing w:after="0"/>
              <w:rPr>
                <w:sz w:val="24"/>
                <w:szCs w:val="24"/>
                <w:color w:val="auto"/>
              </w:rPr>
            </w:pPr>
          </w:p>
        </w:tc>
        <w:tc>
          <w:tcPr>
            <w:tcW w:w="7000" w:type="dxa"/>
            <w:vAlign w:val="bottom"/>
          </w:tcPr>
          <w:p>
            <w:pPr>
              <w:jc w:val="right"/>
              <w:ind w:right="435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3160" w:type="dxa"/>
            <w:vAlign w:val="bottom"/>
            <w:tcBorders>
              <w:bottom w:val="single" w:sz="8" w:color="9A9A9A"/>
            </w:tcBorders>
          </w:tcPr>
          <w:p>
            <w:pPr>
              <w:spacing w:after="0"/>
              <w:rPr>
                <w:sz w:val="10"/>
                <w:szCs w:val="10"/>
                <w:color w:val="auto"/>
              </w:rPr>
            </w:pPr>
          </w:p>
        </w:tc>
        <w:tc>
          <w:tcPr>
            <w:tcW w:w="70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Contingencies</w:t>
      </w:r>
    </w:p>
    <w:p>
      <w:pPr>
        <w:spacing w:after="0" w:line="119" w:lineRule="exact"/>
        <w:rPr>
          <w:sz w:val="20"/>
          <w:szCs w:val="20"/>
          <w:color w:val="auto"/>
        </w:rPr>
      </w:pPr>
    </w:p>
    <w:p>
      <w:pPr>
        <w:ind w:right="20"/>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44" w:lineRule="exact"/>
        <w:rPr>
          <w:sz w:val="20"/>
          <w:szCs w:val="20"/>
          <w:color w:val="auto"/>
        </w:rPr>
      </w:pPr>
    </w:p>
    <w:p>
      <w:pPr>
        <w:ind w:right="20"/>
        <w:spacing w:after="0"/>
        <w:rPr>
          <w:sz w:val="20"/>
          <w:szCs w:val="20"/>
          <w:color w:val="auto"/>
        </w:rPr>
      </w:pPr>
      <w:r>
        <w:rPr>
          <w:rFonts w:ascii="Times New Roman" w:cs="Times New Roman" w:eastAsia="Times New Roman" w:hAnsi="Times New Roman"/>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50" w:lineRule="exact"/>
        <w:rPr>
          <w:sz w:val="20"/>
          <w:szCs w:val="20"/>
          <w:color w:val="auto"/>
        </w:rPr>
      </w:pPr>
    </w:p>
    <w:p>
      <w:pPr>
        <w:ind w:right="360"/>
        <w:spacing w:after="0" w:line="250" w:lineRule="auto"/>
        <w:rPr>
          <w:sz w:val="20"/>
          <w:szCs w:val="20"/>
          <w:color w:val="auto"/>
        </w:rPr>
      </w:pPr>
      <w:r>
        <w:rPr>
          <w:rFonts w:ascii="Times New Roman" w:cs="Times New Roman" w:eastAsia="Times New Roman" w:hAnsi="Times New Roman"/>
          <w:sz w:val="18"/>
          <w:szCs w:val="18"/>
          <w:color w:val="auto"/>
        </w:rPr>
        <w:t>In addition, the company is a defendant in, and may be subject to,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March 31, 2023 and December 31, 2022.</w:t>
      </w:r>
    </w:p>
    <w:p>
      <w:pPr>
        <w:spacing w:after="0" w:line="14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CME SPAN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15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6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sale leaseback transaction was recognized under the financing method and not as a sale leaseback arrangement.</w:t>
      </w:r>
    </w:p>
    <w:p>
      <w:pPr>
        <w:spacing w:after="0" w:line="27"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60" w:type="dxa"/>
            <w:vAlign w:val="bottom"/>
          </w:tcPr>
          <w:p>
            <w:pPr>
              <w:spacing w:after="0"/>
              <w:rPr>
                <w:sz w:val="13"/>
                <w:szCs w:val="13"/>
                <w:color w:val="auto"/>
              </w:rPr>
            </w:pPr>
          </w:p>
        </w:tc>
      </w:tr>
      <w:tr>
        <w:trPr>
          <w:trHeight w:val="194"/>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4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74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30"/>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4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3"/>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0"/>
        </w:trPr>
        <w:tc>
          <w:tcPr>
            <w:tcW w:w="74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69"/>
        </w:trPr>
        <w:tc>
          <w:tcPr>
            <w:tcW w:w="74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r>
      <w:tr>
        <w:trPr>
          <w:trHeight w:val="23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7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30"/>
        </w:trPr>
        <w:tc>
          <w:tcPr>
            <w:tcW w:w="7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4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48"/>
        </w:trPr>
        <w:tc>
          <w:tcPr>
            <w:tcW w:w="7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432"/>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tc>
        <w:tc>
          <w:tcPr>
            <w:tcW w:w="4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380"/>
        </w:trPr>
        <w:tc>
          <w:tcPr>
            <w:tcW w:w="7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00" w:type="dxa"/>
            <w:vAlign w:val="bottom"/>
            <w:gridSpan w:val="3"/>
          </w:tcPr>
          <w:p>
            <w:pPr>
              <w:jc w:val="center"/>
              <w:ind w:left="677"/>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60" w:type="dxa"/>
            <w:vAlign w:val="bottom"/>
          </w:tcPr>
          <w:p>
            <w:pPr>
              <w:spacing w:after="0"/>
              <w:rPr>
                <w:sz w:val="24"/>
                <w:szCs w:val="24"/>
                <w:color w:val="auto"/>
              </w:rPr>
            </w:pPr>
          </w:p>
        </w:tc>
      </w:tr>
      <w:tr>
        <w:trPr>
          <w:trHeight w:val="194"/>
        </w:trPr>
        <w:tc>
          <w:tcPr>
            <w:tcW w:w="74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center"/>
              <w:ind w:left="737"/>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60" w:type="dxa"/>
            <w:vAlign w:val="bottom"/>
            <w:tcBorders>
              <w:bottom w:val="single" w:sz="8" w:color="auto"/>
            </w:tcBorders>
          </w:tcPr>
          <w:p>
            <w:pPr>
              <w:spacing w:after="0"/>
              <w:rPr>
                <w:sz w:val="16"/>
                <w:szCs w:val="16"/>
                <w:color w:val="auto"/>
              </w:rPr>
            </w:pPr>
          </w:p>
        </w:tc>
      </w:tr>
      <w:tr>
        <w:trPr>
          <w:trHeight w:val="196"/>
        </w:trPr>
        <w:tc>
          <w:tcPr>
            <w:tcW w:w="7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ind w:right="6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29"/>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4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Pr>
          <w:p>
            <w:pPr>
              <w:spacing w:after="0"/>
              <w:rPr>
                <w:sz w:val="16"/>
                <w:szCs w:val="16"/>
                <w:color w:val="auto"/>
              </w:rPr>
            </w:pPr>
          </w:p>
        </w:tc>
        <w:tc>
          <w:tcPr>
            <w:tcW w:w="18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40" w:type="dxa"/>
            <w:vAlign w:val="bottom"/>
          </w:tcPr>
          <w:p>
            <w:pPr>
              <w:spacing w:after="0"/>
              <w:rPr>
                <w:sz w:val="16"/>
                <w:szCs w:val="16"/>
                <w:color w:val="auto"/>
              </w:rPr>
            </w:pPr>
          </w:p>
        </w:tc>
        <w:tc>
          <w:tcPr>
            <w:tcW w:w="17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
        </w:trPr>
        <w:tc>
          <w:tcPr>
            <w:tcW w:w="7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301.1</w:t>
            </w:r>
          </w:p>
        </w:tc>
        <w:tc>
          <w:tcPr>
            <w:tcW w:w="16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310.6</w:t>
            </w:r>
          </w:p>
        </w:tc>
      </w:tr>
      <w:tr>
        <w:trPr>
          <w:trHeight w:val="270"/>
        </w:trPr>
        <w:tc>
          <w:tcPr>
            <w:tcW w:w="71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230"/>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49.9</w:t>
            </w:r>
          </w:p>
        </w:tc>
      </w:tr>
      <w:tr>
        <w:trPr>
          <w:trHeight w:val="229"/>
        </w:trPr>
        <w:tc>
          <w:tcPr>
            <w:tcW w:w="7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375.2</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383.5</w:t>
            </w: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424.3</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433.4</w:t>
            </w: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30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34"/>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16"/>
                <w:szCs w:val="16"/>
                <w:color w:val="auto"/>
              </w:rPr>
            </w:pPr>
          </w:p>
        </w:tc>
        <w:tc>
          <w:tcPr>
            <w:tcW w:w="1720" w:type="dxa"/>
            <w:vAlign w:val="bottom"/>
            <w:gridSpan w:val="3"/>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220" w:type="dxa"/>
            <w:vAlign w:val="bottom"/>
          </w:tcPr>
          <w:p>
            <w:pPr>
              <w:spacing w:after="0"/>
              <w:rPr>
                <w:sz w:val="16"/>
                <w:szCs w:val="16"/>
                <w:color w:val="auto"/>
              </w:rPr>
            </w:pPr>
          </w:p>
        </w:tc>
        <w:tc>
          <w:tcPr>
            <w:tcW w:w="172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23"/>
        </w:trPr>
        <w:tc>
          <w:tcPr>
            <w:tcW w:w="7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69.3</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71.5</w:t>
            </w:r>
          </w:p>
        </w:tc>
        <w:tc>
          <w:tcPr>
            <w:tcW w:w="0" w:type="dxa"/>
            <w:vAlign w:val="bottom"/>
          </w:tcPr>
          <w:p>
            <w:pPr>
              <w:spacing w:after="0"/>
              <w:rPr>
                <w:sz w:val="1"/>
                <w:szCs w:val="1"/>
                <w:color w:val="auto"/>
              </w:rPr>
            </w:pPr>
          </w:p>
        </w:tc>
      </w:tr>
      <w:tr>
        <w:trPr>
          <w:trHeight w:val="270"/>
        </w:trPr>
        <w:tc>
          <w:tcPr>
            <w:tcW w:w="71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8.2</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40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65.7</w:t>
            </w: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73.9</w:t>
            </w:r>
          </w:p>
        </w:tc>
        <w:tc>
          <w:tcPr>
            <w:tcW w:w="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76.0</w:t>
            </w:r>
          </w:p>
        </w:tc>
        <w:tc>
          <w:tcPr>
            <w:tcW w:w="0" w:type="dxa"/>
            <w:vAlign w:val="bottom"/>
          </w:tcPr>
          <w:p>
            <w:pPr>
              <w:spacing w:after="0"/>
              <w:rPr>
                <w:sz w:val="1"/>
                <w:szCs w:val="1"/>
                <w:color w:val="auto"/>
              </w:rPr>
            </w:pPr>
          </w:p>
        </w:tc>
      </w:tr>
      <w:tr>
        <w:trPr>
          <w:trHeight w:val="20"/>
        </w:trPr>
        <w:tc>
          <w:tcPr>
            <w:tcW w:w="71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1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4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4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7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March 31, 2023 for operating and finance leases:</w:t>
            </w: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7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40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519.6</w:t>
            </w:r>
          </w:p>
        </w:tc>
        <w:tc>
          <w:tcPr>
            <w:tcW w:w="0" w:type="dxa"/>
            <w:vAlign w:val="bottom"/>
          </w:tcPr>
          <w:p>
            <w:pPr>
              <w:spacing w:after="0"/>
              <w:rPr>
                <w:sz w:val="1"/>
                <w:szCs w:val="1"/>
                <w:color w:val="auto"/>
              </w:rPr>
            </w:pPr>
          </w:p>
        </w:tc>
      </w:tr>
      <w:tr>
        <w:trPr>
          <w:trHeight w:val="229"/>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18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c>
          <w:tcPr>
            <w:tcW w:w="0" w:type="dxa"/>
            <w:vAlign w:val="bottom"/>
          </w:tcPr>
          <w:p>
            <w:pPr>
              <w:spacing w:after="0"/>
              <w:rPr>
                <w:sz w:val="1"/>
                <w:szCs w:val="1"/>
                <w:color w:val="auto"/>
              </w:rPr>
            </w:pPr>
          </w:p>
        </w:tc>
      </w:tr>
      <w:tr>
        <w:trPr>
          <w:trHeight w:val="23"/>
        </w:trPr>
        <w:tc>
          <w:tcPr>
            <w:tcW w:w="71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gridSpan w:val="3"/>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2023</w:t>
            </w:r>
          </w:p>
        </w:tc>
        <w:tc>
          <w:tcPr>
            <w:tcW w:w="400" w:type="dxa"/>
            <w:vAlign w:val="bottom"/>
          </w:tcPr>
          <w:p>
            <w:pPr>
              <w:spacing w:after="0"/>
              <w:rPr>
                <w:sz w:val="19"/>
                <w:szCs w:val="19"/>
                <w:color w:val="auto"/>
              </w:rPr>
            </w:pPr>
          </w:p>
        </w:tc>
        <w:tc>
          <w:tcPr>
            <w:tcW w:w="17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30"/>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0" w:type="dxa"/>
            <w:vAlign w:val="bottom"/>
          </w:tcPr>
          <w:p>
            <w:pPr>
              <w:spacing w:after="0"/>
              <w:rPr>
                <w:sz w:val="1"/>
                <w:szCs w:val="1"/>
                <w:color w:val="auto"/>
              </w:rPr>
            </w:pPr>
          </w:p>
        </w:tc>
      </w:tr>
      <w:tr>
        <w:trPr>
          <w:trHeight w:val="229"/>
        </w:trPr>
        <w:tc>
          <w:tcPr>
            <w:tcW w:w="7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4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142.1</w:t>
            </w:r>
          </w:p>
        </w:tc>
        <w:tc>
          <w:tcPr>
            <w:tcW w:w="0" w:type="dxa"/>
            <w:vAlign w:val="bottom"/>
          </w:tcPr>
          <w:p>
            <w:pPr>
              <w:spacing w:after="0"/>
              <w:rPr>
                <w:sz w:val="1"/>
                <w:szCs w:val="1"/>
                <w:color w:val="auto"/>
              </w:rPr>
            </w:pPr>
          </w:p>
        </w:tc>
      </w:tr>
      <w:tr>
        <w:trPr>
          <w:trHeight w:val="230"/>
        </w:trPr>
        <w:tc>
          <w:tcPr>
            <w:tcW w:w="7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400" w:type="dxa"/>
            <w:vAlign w:val="bottom"/>
            <w:tcBorders>
              <w:bottom w:val="single" w:sz="8" w:color="CCEEFF"/>
            </w:tcBorders>
          </w:tcPr>
          <w:p>
            <w:pPr>
              <w:spacing w:after="0"/>
              <w:rPr>
                <w:sz w:val="19"/>
                <w:szCs w:val="19"/>
                <w:color w:val="auto"/>
              </w:rPr>
            </w:pPr>
          </w:p>
        </w:tc>
        <w:tc>
          <w:tcPr>
            <w:tcW w:w="15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(68.2)</w:t>
            </w:r>
          </w:p>
        </w:tc>
        <w:tc>
          <w:tcPr>
            <w:tcW w:w="0" w:type="dxa"/>
            <w:vAlign w:val="bottom"/>
          </w:tcPr>
          <w:p>
            <w:pPr>
              <w:spacing w:after="0"/>
              <w:rPr>
                <w:sz w:val="1"/>
                <w:szCs w:val="1"/>
                <w:color w:val="auto"/>
              </w:rPr>
            </w:pPr>
          </w:p>
        </w:tc>
      </w:tr>
      <w:tr>
        <w:trPr>
          <w:trHeight w:val="248"/>
        </w:trPr>
        <w:tc>
          <w:tcPr>
            <w:tcW w:w="71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4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Guarantees</w:t>
      </w:r>
    </w:p>
    <w:p>
      <w:pPr>
        <w:spacing w:after="0" w:line="119"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May 2023.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one-year period after May 2023 unless either party provides advance notice of their intent to terminate. CME can maintain collateral in the form of irrevocable, standby letters of credit. At March 31, 2023, CME was contingently liable to SGX on letters of credit totaling $360.0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potential payouts by the clearing house. Based on the assessment performed, management estimates the guarantee liability to be nominal and therefore has not recorded any liability at March 31, 2023 and December 31, 2022.</w:t>
      </w:r>
    </w:p>
    <w:p>
      <w:pPr>
        <w:spacing w:after="0" w:line="52"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March 31, 2023 and December 31, 2022.</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29"/>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0" w:type="dxa"/>
            <w:vAlign w:val="bottom"/>
          </w:tcPr>
          <w:p>
            <w:pPr>
              <w:spacing w:after="0"/>
              <w:rPr>
                <w:sz w:val="1"/>
                <w:szCs w:val="1"/>
                <w:color w:val="auto"/>
              </w:rPr>
            </w:pPr>
          </w:p>
        </w:tc>
      </w:tr>
      <w:tr>
        <w:trPr>
          <w:trHeight w:val="175"/>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175"/>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March 31, 2022</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115" w:lineRule="exact"/>
        <w:rPr>
          <w:sz w:val="20"/>
          <w:szCs w:val="20"/>
          <w:color w:val="auto"/>
        </w:rPr>
      </w:pPr>
    </w:p>
    <w:p>
      <w:pPr>
        <w:jc w:val="both"/>
        <w:ind w:right="2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March 31,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 net unrealized gain on investments of $1.3 million on equity investments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The fair value of these investments was estimated to be $8.6 million at March 31, 2023. This fair value assessment was based on quantitative factors, including observable price changes. The fair value measurements of these investments are considered level 3 and non-recurring.</w:t>
      </w:r>
    </w:p>
    <w:p>
      <w:pPr>
        <w:spacing w:after="0" w:line="126"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Long-Term Debt Notes. </w:t>
      </w:r>
      <w:r>
        <w:rPr>
          <w:rFonts w:ascii="Times New Roman" w:cs="Times New Roman" w:eastAsia="Times New Roman" w:hAnsi="Times New Roman"/>
          <w:sz w:val="18"/>
          <w:szCs w:val="18"/>
          <w:color w:val="auto"/>
        </w:rPr>
        <w:t>The following presents the estimated fair values of long-term debt notes, which are carried at amortized cost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the fair values (in U.S. dollar equivalent)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5460" w:type="dxa"/>
            <w:vAlign w:val="bottom"/>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€15.0 million fixed rate notes due May 2023</w:t>
            </w:r>
          </w:p>
        </w:tc>
        <w:tc>
          <w:tcPr>
            <w:tcW w:w="5460" w:type="dxa"/>
            <w:vAlign w:val="bottom"/>
            <w:tcBorders>
              <w:top w:val="single" w:sz="8" w:color="auto"/>
            </w:tcBorders>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16.3</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w:t>
            </w:r>
          </w:p>
        </w:tc>
        <w:tc>
          <w:tcPr>
            <w:tcW w:w="5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726.3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5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488.1</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5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650.8</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54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792.5</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5460" w:type="dxa"/>
            <w:vAlign w:val="bottom"/>
          </w:tcPr>
          <w:p>
            <w:pPr>
              <w:jc w:val="right"/>
              <w:ind w:right="172"/>
              <w:spacing w:after="0"/>
              <w:rPr>
                <w:sz w:val="20"/>
                <w:szCs w:val="20"/>
                <w:color w:val="auto"/>
              </w:rPr>
            </w:pPr>
            <w:r>
              <w:rPr>
                <w:rFonts w:ascii="Times New Roman" w:cs="Times New Roman" w:eastAsia="Times New Roman" w:hAnsi="Times New Roman"/>
                <w:sz w:val="18"/>
                <w:szCs w:val="18"/>
                <w:color w:val="auto"/>
              </w:rPr>
              <w:t>657.9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20"/>
                <w:szCs w:val="20"/>
                <w:color w:val="auto"/>
              </w:rPr>
            </w:pPr>
          </w:p>
        </w:tc>
      </w:tr>
      <w:tr>
        <w:trPr>
          <w:trHeight w:val="873"/>
        </w:trPr>
        <w:tc>
          <w:tcPr>
            <w:tcW w:w="4640" w:type="dxa"/>
            <w:vAlign w:val="bottom"/>
          </w:tcPr>
          <w:p>
            <w:pPr>
              <w:spacing w:after="0"/>
              <w:rPr>
                <w:sz w:val="24"/>
                <w:szCs w:val="24"/>
                <w:color w:val="auto"/>
              </w:rPr>
            </w:pPr>
          </w:p>
        </w:tc>
        <w:tc>
          <w:tcPr>
            <w:tcW w:w="5460" w:type="dxa"/>
            <w:vAlign w:val="bottom"/>
          </w:tcPr>
          <w:p>
            <w:pPr>
              <w:jc w:val="right"/>
              <w:ind w:right="4292"/>
              <w:spacing w:after="0"/>
              <w:rPr>
                <w:sz w:val="20"/>
                <w:szCs w:val="20"/>
                <w:color w:val="auto"/>
              </w:rPr>
            </w:pPr>
            <w:r>
              <w:rPr>
                <w:rFonts w:ascii="Times New Roman" w:cs="Times New Roman" w:eastAsia="Times New Roman" w:hAnsi="Times New Roman"/>
                <w:sz w:val="18"/>
                <w:szCs w:val="18"/>
                <w:color w:val="auto"/>
              </w:rPr>
              <w:t>20</w:t>
            </w: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546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105"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8840" w:type="dxa"/>
            <w:vAlign w:val="bottom"/>
          </w:tcPr>
          <w:p>
            <w:pPr>
              <w:spacing w:after="0"/>
              <w:rPr>
                <w:sz w:val="13"/>
                <w:szCs w:val="13"/>
                <w:color w:val="auto"/>
              </w:rPr>
            </w:pPr>
          </w:p>
        </w:tc>
        <w:tc>
          <w:tcPr>
            <w:tcW w:w="1600" w:type="dxa"/>
            <w:vAlign w:val="bottom"/>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r>
      <w:tr>
        <w:trPr>
          <w:trHeight w:val="194"/>
        </w:trPr>
        <w:tc>
          <w:tcPr>
            <w:tcW w:w="8840" w:type="dxa"/>
            <w:vAlign w:val="bottom"/>
          </w:tcPr>
          <w:p>
            <w:pPr>
              <w:spacing w:after="0"/>
              <w:rPr>
                <w:sz w:val="16"/>
                <w:szCs w:val="16"/>
                <w:color w:val="auto"/>
              </w:rPr>
            </w:pPr>
          </w:p>
        </w:tc>
        <w:tc>
          <w:tcPr>
            <w:tcW w:w="1600" w:type="dxa"/>
            <w:vAlign w:val="bottom"/>
            <w:tcBorders>
              <w:bottom w:val="single" w:sz="8" w:color="auto"/>
            </w:tcBorders>
          </w:tcPr>
          <w:p>
            <w:pPr>
              <w:jc w:val="center"/>
              <w:ind w:left="6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r>
      <w:tr>
        <w:trPr>
          <w:trHeight w:val="190"/>
        </w:trPr>
        <w:tc>
          <w:tcPr>
            <w:tcW w:w="88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600" w:type="dxa"/>
            <w:vAlign w:val="bottom"/>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w w:val="99"/>
              </w:rPr>
              <w:t>2022</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40" w:type="dxa"/>
            <w:vAlign w:val="bottom"/>
          </w:tcPr>
          <w:p>
            <w:pPr>
              <w:spacing w:after="0"/>
              <w:rPr>
                <w:sz w:val="20"/>
                <w:szCs w:val="20"/>
                <w:color w:val="auto"/>
              </w:rPr>
            </w:pPr>
          </w:p>
        </w:tc>
        <w:tc>
          <w:tcPr>
            <w:tcW w:w="88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auto"/>
              <w:bottom w:val="single" w:sz="8" w:color="auto"/>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center"/>
              <w:ind w:left="252"/>
              <w:spacing w:after="0"/>
              <w:rPr>
                <w:sz w:val="20"/>
                <w:szCs w:val="20"/>
                <w:color w:val="auto"/>
              </w:rPr>
            </w:pPr>
            <w:r>
              <w:rPr>
                <w:rFonts w:ascii="Times New Roman" w:cs="Times New Roman" w:eastAsia="Times New Roman" w:hAnsi="Times New Roman"/>
                <w:sz w:val="18"/>
                <w:szCs w:val="18"/>
                <w:color w:val="auto"/>
                <w:w w:val="99"/>
              </w:rPr>
              <w:t>78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480"/>
              <w:spacing w:after="0"/>
              <w:rPr>
                <w:sz w:val="20"/>
                <w:szCs w:val="20"/>
                <w:color w:val="auto"/>
              </w:rPr>
            </w:pPr>
            <w:r>
              <w:rPr>
                <w:rFonts w:ascii="Times New Roman" w:cs="Times New Roman" w:eastAsia="Times New Roman" w:hAnsi="Times New Roman"/>
                <w:sz w:val="18"/>
                <w:szCs w:val="18"/>
                <w:color w:val="auto"/>
              </w:rPr>
              <w:t>160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center"/>
              <w:ind w:left="252"/>
              <w:spacing w:after="0"/>
              <w:rPr>
                <w:sz w:val="20"/>
                <w:szCs w:val="20"/>
                <w:color w:val="auto"/>
              </w:rPr>
            </w:pPr>
            <w:r>
              <w:rPr>
                <w:rFonts w:ascii="Times New Roman" w:cs="Times New Roman" w:eastAsia="Times New Roman" w:hAnsi="Times New Roman"/>
                <w:sz w:val="18"/>
                <w:szCs w:val="18"/>
                <w:color w:val="auto"/>
                <w:w w:val="99"/>
              </w:rPr>
              <w:t>78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5"/>
        </w:trPr>
        <w:tc>
          <w:tcPr>
            <w:tcW w:w="8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40" w:type="dxa"/>
            <w:vAlign w:val="bottom"/>
          </w:tcPr>
          <w:p>
            <w:pPr>
              <w:spacing w:after="0"/>
              <w:rPr>
                <w:sz w:val="23"/>
                <w:szCs w:val="23"/>
                <w:color w:val="auto"/>
              </w:rPr>
            </w:pPr>
          </w:p>
        </w:tc>
        <w:tc>
          <w:tcPr>
            <w:tcW w:w="8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60" w:type="dxa"/>
            <w:vAlign w:val="bottom"/>
            <w:gridSpan w:val="5"/>
          </w:tcPr>
          <w:p>
            <w:pPr>
              <w:jc w:val="center"/>
              <w:ind w:left="334"/>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8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center"/>
              <w:ind w:left="3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40" w:type="dxa"/>
            <w:vAlign w:val="bottom"/>
            <w:tcBorders>
              <w:bottom w:val="single" w:sz="8" w:color="auto"/>
            </w:tcBorders>
          </w:tcPr>
          <w:p>
            <w:pPr>
              <w:spacing w:after="0"/>
              <w:rPr>
                <w:sz w:val="16"/>
                <w:szCs w:val="16"/>
                <w:color w:val="auto"/>
              </w:rPr>
            </w:pPr>
          </w:p>
        </w:tc>
        <w:tc>
          <w:tcPr>
            <w:tcW w:w="88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w w:val="98"/>
              </w:rPr>
              <w:t>(5.0)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gridSpan w:val="2"/>
          </w:tcPr>
          <w:p>
            <w:pPr>
              <w:jc w:val="center"/>
              <w:ind w:left="212"/>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30"/>
        </w:trPr>
        <w:tc>
          <w:tcPr>
            <w:tcW w:w="8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w w:val="98"/>
              </w:rPr>
              <w:t>(6.1)</w:t>
            </w: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center"/>
              <w:ind w:left="212"/>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23"/>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bottom w:val="single" w:sz="8" w:color="CCEEFF"/>
            </w:tcBorders>
          </w:tcPr>
          <w:p>
            <w:pPr>
              <w:spacing w:after="0" w:line="20" w:lineRule="exact"/>
              <w:rPr>
                <w:sz w:val="1"/>
                <w:szCs w:val="1"/>
                <w:color w:val="auto"/>
              </w:rPr>
            </w:pPr>
          </w:p>
        </w:tc>
        <w:tc>
          <w:tcPr>
            <w:tcW w:w="88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358,933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358,609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Borders>
              <w:bottom w:val="single" w:sz="8" w:color="CCEEFF"/>
            </w:tcBorders>
          </w:tcPr>
          <w:p>
            <w:pPr>
              <w:spacing w:after="0"/>
              <w:rPr>
                <w:sz w:val="19"/>
                <w:szCs w:val="19"/>
                <w:color w:val="auto"/>
              </w:rPr>
            </w:pPr>
          </w:p>
        </w:tc>
        <w:tc>
          <w:tcPr>
            <w:tcW w:w="886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Effect of stock options, restricted stock and performance shares</w:t>
            </w:r>
          </w:p>
        </w:tc>
        <w:tc>
          <w:tcPr>
            <w:tcW w:w="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bottom w:val="single" w:sz="8" w:color="CCEEFF"/>
            </w:tcBorders>
            <w:shd w:val="clear" w:color="auto" w:fill="CCEEFF"/>
          </w:tcPr>
          <w:p>
            <w:pPr>
              <w:spacing w:after="0"/>
              <w:rPr>
                <w:sz w:val="21"/>
                <w:szCs w:val="21"/>
                <w:color w:val="auto"/>
              </w:rPr>
            </w:pPr>
          </w:p>
        </w:tc>
        <w:tc>
          <w:tcPr>
            <w:tcW w:w="88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359,313</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359,180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9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 w:type="dxa"/>
            <w:vAlign w:val="bottom"/>
            <w:shd w:val="clear" w:color="auto" w:fill="CCEEFF"/>
          </w:tcPr>
          <w:p>
            <w:pPr>
              <w:spacing w:after="0"/>
              <w:rPr>
                <w:sz w:val="19"/>
                <w:szCs w:val="19"/>
                <w:color w:val="auto"/>
              </w:rPr>
            </w:pPr>
          </w:p>
        </w:tc>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8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Diluted</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2022, filed with the SEC on February 27, 2023.</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60" w:type="dxa"/>
            <w:vAlign w:val="bottom"/>
          </w:tcPr>
          <w:p>
            <w:pPr>
              <w:spacing w:after="0"/>
              <w:rPr>
                <w:sz w:val="13"/>
                <w:szCs w:val="13"/>
                <w:color w:val="auto"/>
              </w:rPr>
            </w:pPr>
          </w:p>
        </w:tc>
      </w:tr>
      <w:tr>
        <w:trPr>
          <w:trHeight w:val="194"/>
        </w:trPr>
        <w:tc>
          <w:tcPr>
            <w:tcW w:w="7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1,346.6</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527.9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487.5</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8</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63.4 %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243.2</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57.2</w:t>
            </w:r>
          </w:p>
        </w:tc>
        <w:tc>
          <w:tcPr>
            <w:tcW w:w="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23.6 %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711.0</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24</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56"/>
              <w:spacing w:after="0"/>
              <w:rPr>
                <w:sz w:val="20"/>
                <w:szCs w:val="20"/>
                <w:color w:val="auto"/>
              </w:rPr>
            </w:pPr>
            <w:r>
              <w:rPr>
                <w:rFonts w:ascii="Times New Roman" w:cs="Times New Roman" w:eastAsia="Times New Roman" w:hAnsi="Times New Roman"/>
                <w:sz w:val="18"/>
                <w:szCs w:val="18"/>
                <w:color w:val="auto"/>
              </w:rPr>
              <w:t>2.43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1.95</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902.4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113"/>
              <w:spacing w:after="0"/>
              <w:rPr>
                <w:sz w:val="20"/>
                <w:szCs w:val="20"/>
                <w:color w:val="auto"/>
              </w:rPr>
            </w:pPr>
            <w:r>
              <w:rPr>
                <w:rFonts w:ascii="Times New Roman" w:cs="Times New Roman" w:eastAsia="Times New Roman" w:hAnsi="Times New Roman"/>
                <w:sz w:val="18"/>
                <w:szCs w:val="18"/>
                <w:color w:val="auto"/>
              </w:rPr>
              <w:t>799.1</w:t>
            </w:r>
          </w:p>
        </w:tc>
        <w:tc>
          <w:tcPr>
            <w:tcW w:w="20" w:type="dxa"/>
            <w:vAlign w:val="bottom"/>
          </w:tcPr>
          <w:p>
            <w:pPr>
              <w:spacing w:after="0"/>
              <w:rPr>
                <w:sz w:val="20"/>
                <w:szCs w:val="20"/>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13</w:t>
            </w:r>
          </w:p>
        </w:tc>
      </w:tr>
      <w:tr>
        <w:trPr>
          <w:trHeight w:val="394"/>
        </w:trPr>
        <w:tc>
          <w:tcPr>
            <w:tcW w:w="72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n.m. not meaningful</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17"/>
        </w:trPr>
        <w:tc>
          <w:tcPr>
            <w:tcW w:w="7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2"/>
        </w:trPr>
        <w:tc>
          <w:tcPr>
            <w:tcW w:w="7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20" w:type="dxa"/>
            <w:vAlign w:val="bottom"/>
            <w:gridSpan w:val="5"/>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60" w:type="dxa"/>
            <w:vAlign w:val="bottom"/>
          </w:tcPr>
          <w:p>
            <w:pPr>
              <w:spacing w:after="0"/>
              <w:rPr>
                <w:sz w:val="23"/>
                <w:szCs w:val="23"/>
                <w:color w:val="auto"/>
              </w:rPr>
            </w:pPr>
          </w:p>
        </w:tc>
      </w:tr>
      <w:tr>
        <w:trPr>
          <w:trHeight w:val="194"/>
        </w:trPr>
        <w:tc>
          <w:tcPr>
            <w:tcW w:w="7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536"/>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7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1,200.2</w:t>
            </w:r>
          </w:p>
        </w:tc>
        <w:tc>
          <w:tcPr>
            <w:tcW w:w="44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1,138.1</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r>
      <w:tr>
        <w:trPr>
          <w:trHeight w:val="230"/>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33</w:t>
            </w:r>
          </w:p>
        </w:tc>
      </w:tr>
      <w:tr>
        <w:trPr>
          <w:trHeight w:val="223"/>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1,441.6</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1,346.6</w:t>
            </w:r>
          </w:p>
        </w:tc>
        <w:tc>
          <w:tcPr>
            <w:tcW w:w="20" w:type="dxa"/>
            <w:vAlign w:val="bottom"/>
          </w:tcPr>
          <w:p>
            <w:pPr>
              <w:spacing w:after="0"/>
              <w:rPr>
                <w:sz w:val="19"/>
                <w:szCs w:val="19"/>
                <w:color w:val="auto"/>
              </w:rPr>
            </w:pPr>
          </w:p>
        </w:tc>
        <w:tc>
          <w:tcPr>
            <w:tcW w:w="136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7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6"/>
        </w:trPr>
        <w:tc>
          <w:tcPr>
            <w:tcW w:w="74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2"/>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4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1,666.1</w:t>
            </w:r>
          </w:p>
        </w:tc>
        <w:tc>
          <w:tcPr>
            <w:tcW w:w="5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1,607.1</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4 %</w:t>
            </w:r>
          </w:p>
        </w:tc>
      </w:tr>
      <w:tr>
        <w:trPr>
          <w:trHeight w:val="22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1,105.6</w:t>
            </w:r>
          </w:p>
        </w:tc>
        <w:tc>
          <w:tcPr>
            <w:tcW w:w="5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1,034.3</w:t>
            </w:r>
          </w:p>
        </w:tc>
        <w:tc>
          <w:tcPr>
            <w:tcW w:w="138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0.664</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0.644</w:t>
            </w:r>
          </w:p>
        </w:tc>
        <w:tc>
          <w:tcPr>
            <w:tcW w:w="138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3</w:t>
            </w: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 in clearing and transaction fees based on the change in total contract volume and the change in average rate per contract for futures and options during the first quarter of 2023 when compared with the same period in 2022.</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14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Quarter Ended</w:t>
            </w:r>
          </w:p>
        </w:tc>
      </w:tr>
      <w:tr>
        <w:trPr>
          <w:trHeight w:val="23"/>
        </w:trPr>
        <w:tc>
          <w:tcPr>
            <w:tcW w:w="10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23"/>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 due to a change in total contract volume</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r>
      <w:tr>
        <w:trPr>
          <w:trHeight w:val="229"/>
        </w:trPr>
        <w:tc>
          <w:tcPr>
            <w:tcW w:w="10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Increase due to a change in average rate per contract</w:t>
            </w: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w:t>
            </w:r>
          </w:p>
        </w:tc>
      </w:tr>
      <w:tr>
        <w:trPr>
          <w:trHeight w:val="223"/>
        </w:trPr>
        <w:tc>
          <w:tcPr>
            <w:tcW w:w="10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in clearing and transaction fees</w:t>
            </w:r>
          </w:p>
        </w:tc>
        <w:tc>
          <w:tcPr>
            <w:tcW w:w="42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w:t>
            </w: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0" w:type="dxa"/>
            <w:vAlign w:val="bottom"/>
          </w:tcPr>
          <w:p>
            <w:pPr>
              <w:spacing w:after="0"/>
              <w:rPr>
                <w:sz w:val="13"/>
                <w:szCs w:val="13"/>
                <w:color w:val="auto"/>
              </w:rPr>
            </w:pPr>
          </w:p>
        </w:tc>
        <w:tc>
          <w:tcPr>
            <w:tcW w:w="22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Pr>
          <w:p>
            <w:pPr>
              <w:spacing w:after="0"/>
              <w:rPr>
                <w:sz w:val="13"/>
                <w:szCs w:val="13"/>
                <w:color w:val="auto"/>
              </w:rPr>
            </w:pPr>
          </w:p>
        </w:tc>
      </w:tr>
      <w:tr>
        <w:trPr>
          <w:trHeight w:val="196"/>
        </w:trPr>
        <w:tc>
          <w:tcPr>
            <w:tcW w:w="8000" w:type="dxa"/>
            <w:vAlign w:val="bottom"/>
          </w:tcPr>
          <w:p>
            <w:pPr>
              <w:spacing w:after="0"/>
              <w:rPr>
                <w:sz w:val="17"/>
                <w:szCs w:val="17"/>
                <w:color w:val="auto"/>
              </w:rPr>
            </w:pPr>
          </w:p>
        </w:tc>
        <w:tc>
          <w:tcPr>
            <w:tcW w:w="1480" w:type="dxa"/>
            <w:vAlign w:val="bottom"/>
            <w:tcBorders>
              <w:bottom w:val="single" w:sz="8" w:color="auto"/>
            </w:tcBorders>
            <w:gridSpan w:val="3"/>
          </w:tcPr>
          <w:p>
            <w:pPr>
              <w:jc w:val="center"/>
              <w:ind w:left="6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7"/>
                <w:szCs w:val="17"/>
                <w:color w:val="auto"/>
              </w:rPr>
            </w:pPr>
          </w:p>
        </w:tc>
        <w:tc>
          <w:tcPr>
            <w:tcW w:w="1020" w:type="dxa"/>
            <w:vAlign w:val="bottom"/>
          </w:tcPr>
          <w:p>
            <w:pPr>
              <w:spacing w:after="0"/>
              <w:rPr>
                <w:sz w:val="17"/>
                <w:szCs w:val="17"/>
                <w:color w:val="auto"/>
              </w:rPr>
            </w:pPr>
          </w:p>
        </w:tc>
      </w:tr>
      <w:tr>
        <w:trPr>
          <w:trHeight w:val="196"/>
        </w:trPr>
        <w:tc>
          <w:tcPr>
            <w:tcW w:w="8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060" w:type="dxa"/>
            <w:vAlign w:val="bottom"/>
            <w:tcBorders>
              <w:bottom w:val="single" w:sz="8" w:color="auto"/>
            </w:tcBorders>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14,490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12,484</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7,303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7,950</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904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1,379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1,474</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29"/>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2,083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2,515</w:t>
            </w:r>
          </w:p>
        </w:tc>
        <w:tc>
          <w:tcPr>
            <w:tcW w:w="102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06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593</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3"/>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26,873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25,920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060" w:type="dxa"/>
            <w:vAlign w:val="bottom"/>
          </w:tcPr>
          <w:p>
            <w:pPr>
              <w:jc w:val="right"/>
              <w:ind w:right="54"/>
              <w:spacing w:after="0"/>
              <w:rPr>
                <w:sz w:val="20"/>
                <w:szCs w:val="20"/>
                <w:color w:val="auto"/>
              </w:rPr>
            </w:pPr>
            <w:r>
              <w:rPr>
                <w:rFonts w:ascii="Times New Roman" w:cs="Times New Roman" w:eastAsia="Times New Roman" w:hAnsi="Times New Roman"/>
                <w:sz w:val="18"/>
                <w:szCs w:val="18"/>
                <w:color w:val="auto"/>
              </w:rPr>
              <w:t>24,170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24,060</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1,030</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58</w:t>
            </w:r>
          </w:p>
        </w:tc>
      </w:tr>
      <w:tr>
        <w:trPr>
          <w:trHeight w:val="230"/>
        </w:trPr>
        <w:tc>
          <w:tcPr>
            <w:tcW w:w="80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06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8"/>
                <w:szCs w:val="18"/>
                <w:color w:val="auto"/>
              </w:rPr>
              <w:t>1,080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830</w:t>
            </w:r>
          </w:p>
        </w:tc>
        <w:tc>
          <w:tcPr>
            <w:tcW w:w="10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6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26,873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25,920</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8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020" w:type="dxa"/>
            <w:vAlign w:val="bottom"/>
          </w:tcPr>
          <w:p>
            <w:pPr>
              <w:spacing w:after="0"/>
              <w:rPr>
                <w:sz w:val="20"/>
                <w:szCs w:val="20"/>
                <w:color w:val="auto"/>
              </w:rPr>
            </w:pPr>
          </w:p>
        </w:tc>
      </w:tr>
    </w:tbl>
    <w:p>
      <w:pPr>
        <w:spacing w:after="0" w:line="193"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Market volatility increased within certain financial markets throughout the first quarter of 2023, following lower overall volatility in the first quarter of 2022. Interest rate and foreign exchange volatility were higher as result of higher inflation levels and market uncertainty following the collapse of two U.S. regional banks. However, volatility was lower within our equities, agricultural commodity and energy markets. These markets experienced higher volatility in early 2022 due to geopolitical uncertainty as a result of the conflict between Russia and Ukraine. We believe these factors led to the changes in contract volume during the first quarter of 2023, when compared with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325</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1,869</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30"/>
        </w:trPr>
        <w:tc>
          <w:tcPr>
            <w:tcW w:w="75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137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1,489</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(91)</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82</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(90)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3,001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2,429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907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2,921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2,855</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1,896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75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828</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5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2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560</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w:t>
            </w:r>
          </w:p>
        </w:tc>
      </w:tr>
      <w:tr>
        <w:trPr>
          <w:trHeight w:val="234"/>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2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601</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r>
    </w:tbl>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not meaningful</w:t>
      </w:r>
    </w:p>
    <w:p>
      <w:pPr>
        <w:spacing w:after="0" w:line="97" w:lineRule="exact"/>
        <w:rPr>
          <w:sz w:val="20"/>
          <w:szCs w:val="20"/>
          <w:color w:val="auto"/>
        </w:rPr>
      </w:pPr>
    </w:p>
    <w:p>
      <w:pPr>
        <w:ind w:right="120"/>
        <w:spacing w:after="0" w:line="242" w:lineRule="auto"/>
        <w:rPr>
          <w:sz w:val="20"/>
          <w:szCs w:val="20"/>
          <w:color w:val="auto"/>
        </w:rPr>
      </w:pPr>
      <w:r>
        <w:rPr>
          <w:rFonts w:ascii="Times New Roman" w:cs="Times New Roman" w:eastAsia="Times New Roman" w:hAnsi="Times New Roman"/>
          <w:sz w:val="18"/>
          <w:szCs w:val="18"/>
          <w:color w:val="auto"/>
        </w:rPr>
        <w:t>In the first quarter of 2023, overall interest rate contract volume increased when compared with the same period in 2022. We believe this increase was due to higher interest rate volatility as a result of higher inflation levels and market uncertainty following the collapse of two U.S. regional banks. The Federal Open Market Committee's decision to increase the Federal Funds rate in the first quarter of 2023 also contributed to additional interest rate volatility. In addition, the increase in Secured Overnight Financing Rate contract (SOFR) volume was also due to more market participants transitioning to the new reference rate away from Eurdollar contracts, which are based on LIBOR. The LIBOR rate will conclude in the second quarter of 2023.</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4,601</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1,896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2,381</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332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(26)</w:t>
            </w:r>
          </w:p>
        </w:tc>
      </w:tr>
    </w:tbl>
    <w:p>
      <w:pPr>
        <w:spacing w:after="0" w:line="198"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Equity index contract volume decreased in the first quarter of 2023 when compared with the same period in 2022, which we believe was due to lower overall volatility within the equity indexes in the first quarter of 2023 when compared with the same period in 2022. Significant market uncertainty in the first quarter of 2022 was due to higher than expected inflation, as well as rising tensions and geopolitical uncertainty with Russia and Ukraine. We believe these factors led to lower overall equity contract volume in the first quarter of 2023 when compared with the same period in 2022.</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80" w:type="dxa"/>
            <w:vAlign w:val="bottom"/>
          </w:tcPr>
          <w:p>
            <w:pPr>
              <w:spacing w:after="0"/>
              <w:rPr>
                <w:sz w:val="13"/>
                <w:szCs w:val="13"/>
                <w:color w:val="auto"/>
              </w:rPr>
            </w:pPr>
          </w:p>
        </w:tc>
        <w:tc>
          <w:tcPr>
            <w:tcW w:w="404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34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6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3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404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56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268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8 %</w:t>
            </w:r>
          </w:p>
        </w:tc>
      </w:tr>
      <w:tr>
        <w:trPr>
          <w:trHeight w:val="230"/>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566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173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w:t>
            </w:r>
          </w:p>
        </w:tc>
      </w:tr>
      <w:tr>
        <w:trPr>
          <w:trHeight w:val="229"/>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5660" w:type="dxa"/>
            <w:vAlign w:val="bottom"/>
            <w:gridSpan w:val="2"/>
            <w:shd w:val="clear" w:color="auto" w:fill="CCEEFF"/>
          </w:tcPr>
          <w:p>
            <w:pPr>
              <w:jc w:val="right"/>
              <w:ind w:right="508"/>
              <w:spacing w:after="0"/>
              <w:rPr>
                <w:sz w:val="20"/>
                <w:szCs w:val="20"/>
                <w:color w:val="auto"/>
              </w:rPr>
            </w:pPr>
            <w:r>
              <w:rPr>
                <w:rFonts w:ascii="Times New Roman" w:cs="Times New Roman" w:eastAsia="Times New Roman" w:hAnsi="Times New Roman"/>
                <w:sz w:val="18"/>
                <w:szCs w:val="18"/>
                <w:color w:val="auto"/>
              </w:rPr>
              <w:t>112</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38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5660" w:type="dxa"/>
            <w:vAlign w:val="bottom"/>
            <w:gridSpan w:val="2"/>
          </w:tcPr>
          <w:p>
            <w:pPr>
              <w:jc w:val="right"/>
              <w:ind w:right="508"/>
              <w:spacing w:after="0"/>
              <w:rPr>
                <w:sz w:val="20"/>
                <w:szCs w:val="20"/>
                <w:color w:val="auto"/>
              </w:rPr>
            </w:pPr>
            <w:r>
              <w:rPr>
                <w:rFonts w:ascii="Times New Roman" w:cs="Times New Roman" w:eastAsia="Times New Roman" w:hAnsi="Times New Roman"/>
                <w:sz w:val="18"/>
                <w:szCs w:val="18"/>
                <w:color w:val="auto"/>
              </w:rPr>
              <w:t>104</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38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w:t>
            </w:r>
          </w:p>
        </w:tc>
      </w:tr>
      <w:tr>
        <w:trPr>
          <w:trHeight w:val="873"/>
        </w:trPr>
        <w:tc>
          <w:tcPr>
            <w:tcW w:w="3480" w:type="dxa"/>
            <w:vAlign w:val="bottom"/>
          </w:tcPr>
          <w:p>
            <w:pPr>
              <w:spacing w:after="0"/>
              <w:rPr>
                <w:sz w:val="24"/>
                <w:szCs w:val="24"/>
                <w:color w:val="auto"/>
              </w:rPr>
            </w:pPr>
          </w:p>
        </w:tc>
        <w:tc>
          <w:tcPr>
            <w:tcW w:w="404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24</w:t>
            </w:r>
          </w:p>
        </w:tc>
        <w:tc>
          <w:tcPr>
            <w:tcW w:w="1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115"/>
        </w:trPr>
        <w:tc>
          <w:tcPr>
            <w:tcW w:w="3480" w:type="dxa"/>
            <w:vAlign w:val="bottom"/>
            <w:tcBorders>
              <w:bottom w:val="single" w:sz="8" w:color="9A9A9A"/>
            </w:tcBorders>
          </w:tcPr>
          <w:p>
            <w:pPr>
              <w:spacing w:after="0"/>
              <w:rPr>
                <w:sz w:val="10"/>
                <w:szCs w:val="10"/>
                <w:color w:val="auto"/>
              </w:rPr>
            </w:pPr>
          </w:p>
        </w:tc>
        <w:tc>
          <w:tcPr>
            <w:tcW w:w="4040" w:type="dxa"/>
            <w:vAlign w:val="bottom"/>
            <w:tcBorders>
              <w:bottom w:val="single" w:sz="8" w:color="9A9A9A"/>
            </w:tcBorders>
          </w:tcPr>
          <w:p>
            <w:pPr>
              <w:spacing w:after="0"/>
              <w:rPr>
                <w:sz w:val="10"/>
                <w:szCs w:val="10"/>
                <w:color w:val="auto"/>
              </w:rPr>
            </w:pPr>
          </w:p>
        </w:tc>
        <w:tc>
          <w:tcPr>
            <w:tcW w:w="16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49"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Overall foreign exchange contract volume increased in the first quarter of 2023 when compared with the same period in 2022. Market volatility was higher in the first quarter of 2023 due to market uncertainty surrounding the financial health of regional and global banks in the U.S. and Europe. As a result, Japanese Yen contract volume increased as investor demand for safe haven currencies increased amid market uncertainty. We believe these factors led to an overall increase in foreign exchange contract volume.</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409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9"/>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296</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w:t>
            </w:r>
          </w:p>
        </w:tc>
        <w:tc>
          <w:tcPr>
            <w:tcW w:w="13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(8)</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185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In the first quarter of 2023 when compared with the same period in 2022, overall commodity contract volume decreased due to lower overall market volatility. Volatility in the first quarter of 2022 was higher as a result of global trade uncertainty due to the conflict between Russia and Ukraine. We believe these factors contributed to lower overall commodity volume.</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4"/>
        </w:trPr>
        <w:tc>
          <w:tcPr>
            <w:tcW w:w="7520" w:type="dxa"/>
            <w:vAlign w:val="bottom"/>
          </w:tcPr>
          <w:p>
            <w:pPr>
              <w:spacing w:after="0"/>
              <w:rPr>
                <w:sz w:val="16"/>
                <w:szCs w:val="16"/>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6"/>
                <w:szCs w:val="16"/>
                <w:color w:val="auto"/>
              </w:rPr>
            </w:pPr>
          </w:p>
        </w:tc>
        <w:tc>
          <w:tcPr>
            <w:tcW w:w="1380" w:type="dxa"/>
            <w:vAlign w:val="bottom"/>
          </w:tcPr>
          <w:p>
            <w:pPr>
              <w:spacing w:after="0"/>
              <w:rPr>
                <w:sz w:val="16"/>
                <w:szCs w:val="16"/>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1,067</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599</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328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38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(20)</w:t>
            </w:r>
          </w:p>
        </w:tc>
      </w:tr>
    </w:tbl>
    <w:p>
      <w:pPr>
        <w:spacing w:after="0" w:line="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Overall energy contract volume decreased in the first quarter of 2023 when compared with the same period in 2022. Market volatility was higher in the first quarter of 2022 as a result of the Russia and Ukraine conflict, which we believe led to the overall decrease in energy contract volume.</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20" w:type="dxa"/>
            <w:vAlign w:val="bottom"/>
          </w:tcPr>
          <w:p>
            <w:pPr>
              <w:spacing w:after="0"/>
              <w:rPr>
                <w:sz w:val="13"/>
                <w:szCs w:val="13"/>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r>
      <w:tr>
        <w:trPr>
          <w:trHeight w:val="196"/>
        </w:trPr>
        <w:tc>
          <w:tcPr>
            <w:tcW w:w="7520" w:type="dxa"/>
            <w:vAlign w:val="bottom"/>
          </w:tcPr>
          <w:p>
            <w:pPr>
              <w:spacing w:after="0"/>
              <w:rPr>
                <w:sz w:val="17"/>
                <w:szCs w:val="17"/>
                <w:color w:val="auto"/>
              </w:rPr>
            </w:pPr>
          </w:p>
        </w:tc>
        <w:tc>
          <w:tcPr>
            <w:tcW w:w="16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r>
      <w:tr>
        <w:trPr>
          <w:trHeight w:val="196"/>
        </w:trPr>
        <w:tc>
          <w:tcPr>
            <w:tcW w:w="7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2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3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398</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7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2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123</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3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38</w:t>
            </w:r>
          </w:p>
        </w:tc>
      </w:tr>
      <w:tr>
        <w:trPr>
          <w:trHeight w:val="230"/>
        </w:trPr>
        <w:tc>
          <w:tcPr>
            <w:tcW w:w="7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2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94</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3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9</w:t>
            </w:r>
          </w:p>
        </w:tc>
      </w:tr>
    </w:tbl>
    <w:p>
      <w:pPr>
        <w:spacing w:after="0" w:line="15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In the first quarter of 2023, overall metal contract volume increased when compared with the same period in 2022. Market uncertainty following the collapse of two U.S. regional banks led to an overall increase in demand for gold and other precious metals as safe-haven investments. In addition, copper contract volume increased largely due to an increase in demand for copper in China following the lifting of restrictions from the COVID pandemic. We believe these factors led to the overall increase in metal contract volume.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92"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 average rate per contract increased in the first quarter of 2023, when compared with the same period in 2022. The increase in the average rate per contract was primarily due to an increase to our fee structure that went into effect on February 1, 2023.</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first quarter of 2023 include $75.0 million of transaction fees attributable to the cash markets business, compared with $86.7 million in the first quarter 2022. This revenue primarily includes BrokerTec Americas LLC's fixed income volume and EBS's foreign exchange volume.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740" w:type="dxa"/>
            <w:vAlign w:val="bottom"/>
          </w:tcPr>
          <w:p>
            <w:pPr>
              <w:jc w:val="center"/>
              <w:ind w:right="688"/>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980" w:type="dxa"/>
            <w:vAlign w:val="bottom"/>
          </w:tcPr>
          <w:p>
            <w:pPr>
              <w:spacing w:after="0"/>
              <w:rPr>
                <w:sz w:val="13"/>
                <w:szCs w:val="13"/>
                <w:color w:val="auto"/>
              </w:rPr>
            </w:pPr>
          </w:p>
        </w:tc>
      </w:tr>
      <w:tr>
        <w:trPr>
          <w:trHeight w:val="194"/>
        </w:trPr>
        <w:tc>
          <w:tcPr>
            <w:tcW w:w="732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center"/>
              <w:ind w:right="6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Pr>
          <w:p>
            <w:pPr>
              <w:spacing w:after="0"/>
              <w:rPr>
                <w:sz w:val="16"/>
                <w:szCs w:val="16"/>
                <w:color w:val="auto"/>
              </w:rPr>
            </w:pPr>
          </w:p>
        </w:tc>
      </w:tr>
      <w:tr>
        <w:trPr>
          <w:trHeight w:val="190"/>
        </w:trPr>
        <w:tc>
          <w:tcPr>
            <w:tcW w:w="732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17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2022</w:t>
            </w:r>
          </w:p>
        </w:tc>
        <w:tc>
          <w:tcPr>
            <w:tcW w:w="98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20" w:type="dxa"/>
            <w:vAlign w:val="bottom"/>
            <w:tcBorders>
              <w:top w:val="single" w:sz="8" w:color="auto"/>
            </w:tcBorders>
            <w:shd w:val="clear" w:color="auto" w:fill="CCEEFF"/>
          </w:tcPr>
          <w:p>
            <w:pPr>
              <w:spacing w:after="0"/>
              <w:rPr>
                <w:sz w:val="20"/>
                <w:szCs w:val="20"/>
                <w:color w:val="auto"/>
              </w:rPr>
            </w:pPr>
          </w:p>
        </w:tc>
        <w:tc>
          <w:tcPr>
            <w:tcW w:w="7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20"/>
                <w:szCs w:val="20"/>
                <w:color w:val="auto"/>
              </w:rPr>
            </w:pPr>
          </w:p>
        </w:tc>
      </w:tr>
      <w:tr>
        <w:trPr>
          <w:trHeight w:val="234"/>
        </w:trPr>
        <w:tc>
          <w:tcPr>
            <w:tcW w:w="20" w:type="dxa"/>
            <w:vAlign w:val="bottom"/>
          </w:tcPr>
          <w:p>
            <w:pPr>
              <w:spacing w:after="0"/>
              <w:rPr>
                <w:sz w:val="20"/>
                <w:szCs w:val="20"/>
                <w:color w:val="auto"/>
              </w:rPr>
            </w:pPr>
          </w:p>
        </w:tc>
        <w:tc>
          <w:tcPr>
            <w:tcW w:w="7260" w:type="dxa"/>
            <w:vAlign w:val="bottom"/>
          </w:tcPr>
          <w:p>
            <w:pPr>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w:t>
            </w:r>
          </w:p>
        </w:tc>
        <w:tc>
          <w:tcPr>
            <w:tcW w:w="5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20"/>
                <w:szCs w:val="20"/>
                <w:color w:val="auto"/>
              </w:rPr>
            </w:pPr>
          </w:p>
        </w:tc>
      </w:tr>
      <w:tr>
        <w:trPr>
          <w:trHeight w:val="306"/>
        </w:trPr>
        <w:tc>
          <w:tcPr>
            <w:tcW w:w="7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first quarter of 2023 and 2022 were as follows:</w:t>
            </w: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24"/>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2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7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380" w:type="dxa"/>
            <w:vAlign w:val="bottom"/>
            <w:tcBorders>
              <w:bottom w:val="single" w:sz="8" w:color="auto"/>
            </w:tcBorders>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2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354.7</w:t>
            </w:r>
          </w:p>
        </w:tc>
        <w:tc>
          <w:tcPr>
            <w:tcW w:w="52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320.8</w:t>
            </w:r>
          </w:p>
        </w:tc>
        <w:tc>
          <w:tcPr>
            <w:tcW w:w="13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11 %</w:t>
            </w:r>
          </w:p>
        </w:tc>
      </w:tr>
      <w:tr>
        <w:trPr>
          <w:trHeight w:val="230"/>
        </w:trPr>
        <w:tc>
          <w:tcPr>
            <w:tcW w:w="20" w:type="dxa"/>
            <w:vAlign w:val="bottom"/>
          </w:tcPr>
          <w:p>
            <w:pPr>
              <w:spacing w:after="0"/>
              <w:rPr>
                <w:sz w:val="19"/>
                <w:szCs w:val="19"/>
                <w:color w:val="auto"/>
              </w:rPr>
            </w:pPr>
          </w:p>
        </w:tc>
        <w:tc>
          <w:tcPr>
            <w:tcW w:w="7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300" w:type="dxa"/>
            <w:vAlign w:val="bottom"/>
          </w:tcPr>
          <w:p>
            <w:pPr>
              <w:spacing w:after="0"/>
              <w:rPr>
                <w:sz w:val="19"/>
                <w:szCs w:val="19"/>
                <w:color w:val="auto"/>
              </w:rPr>
            </w:pPr>
          </w:p>
        </w:tc>
        <w:tc>
          <w:tcPr>
            <w:tcW w:w="960" w:type="dxa"/>
            <w:vAlign w:val="bottom"/>
          </w:tcPr>
          <w:p>
            <w:pPr>
              <w:jc w:val="right"/>
              <w:ind w:right="77"/>
              <w:spacing w:after="0"/>
              <w:rPr>
                <w:sz w:val="20"/>
                <w:szCs w:val="20"/>
                <w:color w:val="auto"/>
              </w:rPr>
            </w:pPr>
            <w:r>
              <w:rPr>
                <w:rFonts w:ascii="Times New Roman" w:cs="Times New Roman" w:eastAsia="Times New Roman" w:hAnsi="Times New Roman"/>
                <w:sz w:val="18"/>
                <w:szCs w:val="18"/>
                <w:color w:val="auto"/>
              </w:rPr>
              <w:t>123.7</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36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8"/>
                <w:szCs w:val="18"/>
                <w:color w:val="auto"/>
              </w:rPr>
              <w:t>64.4</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3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shd w:val="clear" w:color="auto" w:fill="CCEEFF"/>
          </w:tcPr>
          <w:p>
            <w:pPr>
              <w:spacing w:after="0"/>
              <w:rPr>
                <w:sz w:val="19"/>
                <w:szCs w:val="19"/>
                <w:color w:val="auto"/>
              </w:rPr>
            </w:pPr>
          </w:p>
        </w:tc>
      </w:tr>
    </w:tbl>
    <w:p>
      <w:pPr>
        <w:spacing w:after="0" w:line="19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remained relatively flat in the first quarter of 2023 compared with the same period in 2022. We believe the decrease in U.S. Treasury and Spot FX average daily notional value was due to overall lower volatility in the first quarter of 2023 when compared with the same period in 2022. Volatility within the U.S. Treasury and spot FX markets was higher in the first quarter of 2022 as a result of the conflict between Russia and Ukraine and uncertainty around the Federal Reserve's interest rate policy in early 2022. The slight increase in European Repo average daily notional value was largely due to increased volatility as a result of a change in market expectations regarding the European Central Bank's interest rate policy. Despite the overall average daily notional value remaining flat, transaction revenue for BrokerTec and EBS decreased slightly in the first quarter of 2023 when compared with the same period in 2022, due to the tiered pricing structure and incentive rate programs.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No one individual firm represented 10% of our clearing and transaction fees in the first quarter of 2023.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260"/>
        <w:spacing w:after="0" w:line="284" w:lineRule="auto"/>
        <w:rPr>
          <w:sz w:val="20"/>
          <w:szCs w:val="20"/>
          <w:color w:val="auto"/>
        </w:rPr>
      </w:pPr>
      <w:r>
        <w:rPr>
          <w:rFonts w:ascii="Times New Roman" w:cs="Times New Roman" w:eastAsia="Times New Roman" w:hAnsi="Times New Roman"/>
          <w:sz w:val="18"/>
          <w:szCs w:val="18"/>
          <w:i w:val="1"/>
          <w:iCs w:val="1"/>
          <w:color w:val="auto"/>
        </w:rPr>
        <w:t>Market data and information services</w:t>
      </w:r>
      <w:r>
        <w:rPr>
          <w:rFonts w:ascii="Times New Roman" w:cs="Times New Roman" w:eastAsia="Times New Roman" w:hAnsi="Times New Roman"/>
          <w:sz w:val="18"/>
          <w:szCs w:val="18"/>
          <w:color w:val="auto"/>
        </w:rPr>
        <w:t>. During the first quarter of 2023, overall market data and information services revenues increased when compared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the same period in 2022, largely due to price increases for certain products.</w:t>
      </w:r>
    </w:p>
    <w:p>
      <w:pPr>
        <w:spacing w:after="0" w:line="52"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31% of our market data and information services revenue in the first quarter of 2023.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3"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In the first quarter of 2023, the increase in other revenues when compared with the same period in 2022 was largely attributable to higher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custody fees as well as an increase in co-location and other connectivity fees.</w:t>
      </w:r>
    </w:p>
    <w:p>
      <w:pPr>
        <w:spacing w:after="0" w:line="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16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20" w:type="dxa"/>
            <w:vAlign w:val="bottom"/>
            <w:tcBorders>
              <w:bottom w:val="single" w:sz="8" w:color="auto"/>
            </w:tcBorders>
          </w:tcPr>
          <w:p>
            <w:pPr>
              <w:spacing w:after="0"/>
              <w:rPr>
                <w:sz w:val="17"/>
                <w:szCs w:val="17"/>
                <w:color w:val="auto"/>
              </w:rPr>
            </w:pPr>
          </w:p>
        </w:tc>
        <w:tc>
          <w:tcPr>
            <w:tcW w:w="1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40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9"/>
        </w:trPr>
        <w:tc>
          <w:tcPr>
            <w:tcW w:w="41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580" w:type="dxa"/>
            <w:vAlign w:val="bottom"/>
            <w:tcBorders>
              <w:top w:val="single" w:sz="8" w:color="auto"/>
            </w:tcBorders>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204.5</w:t>
            </w:r>
          </w:p>
        </w:tc>
        <w:tc>
          <w:tcPr>
            <w:tcW w:w="120" w:type="dxa"/>
            <w:vAlign w:val="bottom"/>
            <w:tcBorders>
              <w:top w:val="single" w:sz="8" w:color="auto"/>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3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13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38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3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3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527.9</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487.5</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160" w:type="dxa"/>
            <w:vAlign w:val="bottom"/>
          </w:tcPr>
          <w:p>
            <w:pPr>
              <w:spacing w:after="0" w:line="20" w:lineRule="exact"/>
              <w:rPr>
                <w:sz w:val="1"/>
                <w:szCs w:val="1"/>
                <w:color w:val="auto"/>
              </w:rPr>
            </w:pPr>
          </w:p>
        </w:tc>
        <w:tc>
          <w:tcPr>
            <w:tcW w:w="3320" w:type="dxa"/>
            <w:vAlign w:val="bottom"/>
            <w:vMerge w:val="restart"/>
          </w:tcPr>
          <w:p>
            <w:pPr>
              <w:jc w:val="right"/>
              <w:ind w:right="1670"/>
              <w:spacing w:after="0"/>
              <w:rPr>
                <w:sz w:val="20"/>
                <w:szCs w:val="20"/>
                <w:color w:val="auto"/>
              </w:rPr>
            </w:pPr>
            <w:r>
              <w:rPr>
                <w:rFonts w:ascii="Times New Roman" w:cs="Times New Roman" w:eastAsia="Times New Roman" w:hAnsi="Times New Roman"/>
                <w:sz w:val="18"/>
                <w:szCs w:val="18"/>
                <w:color w:val="auto"/>
              </w:rPr>
              <w:t>26</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71"/>
        </w:trPr>
        <w:tc>
          <w:tcPr>
            <w:tcW w:w="4160" w:type="dxa"/>
            <w:vAlign w:val="bottom"/>
          </w:tcPr>
          <w:p>
            <w:pPr>
              <w:spacing w:after="0"/>
              <w:rPr>
                <w:sz w:val="24"/>
                <w:szCs w:val="24"/>
                <w:color w:val="auto"/>
              </w:rPr>
            </w:pPr>
          </w:p>
        </w:tc>
        <w:tc>
          <w:tcPr>
            <w:tcW w:w="33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6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$40.4 million in the first quarter of 2023 when compared with the same period in 2022. The following table shows the estimated impacts of key factors resulting in the change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60" w:type="dxa"/>
            <w:vAlign w:val="bottom"/>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0" w:type="dxa"/>
            <w:vAlign w:val="bottom"/>
          </w:tcPr>
          <w:p>
            <w:pPr>
              <w:spacing w:after="0"/>
              <w:rPr>
                <w:sz w:val="1"/>
                <w:szCs w:val="1"/>
                <w:color w:val="auto"/>
              </w:rPr>
            </w:pPr>
          </w:p>
        </w:tc>
      </w:tr>
      <w:tr>
        <w:trPr>
          <w:trHeight w:val="195"/>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0" w:type="dxa"/>
            <w:vAlign w:val="bottom"/>
          </w:tcPr>
          <w:p>
            <w:pPr>
              <w:spacing w:after="0"/>
              <w:rPr>
                <w:sz w:val="1"/>
                <w:szCs w:val="1"/>
                <w:color w:val="auto"/>
              </w:rPr>
            </w:pPr>
          </w:p>
        </w:tc>
      </w:tr>
      <w:tr>
        <w:trPr>
          <w:trHeight w:val="284"/>
        </w:trPr>
        <w:tc>
          <w:tcPr>
            <w:tcW w:w="8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9"/>
        </w:trPr>
        <w:tc>
          <w:tcPr>
            <w:tcW w:w="8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5"/>
        </w:trPr>
        <w:tc>
          <w:tcPr>
            <w:tcW w:w="864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Non-qualified deferred compensation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9"/>
                <w:szCs w:val="19"/>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Currency fluctuation</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 maintenance</w:t>
            </w: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4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97"/>
              </w:rPr>
              <w:t>8.5</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3"/>
        </w:trPr>
        <w:tc>
          <w:tcPr>
            <w:tcW w:w="8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100" w:type="dxa"/>
            <w:vAlign w:val="bottom"/>
          </w:tcPr>
          <w:p>
            <w:pPr>
              <w:spacing w:after="0"/>
              <w:rPr>
                <w:sz w:val="19"/>
                <w:szCs w:val="19"/>
                <w:color w:val="auto"/>
              </w:rPr>
            </w:pPr>
          </w:p>
        </w:tc>
        <w:tc>
          <w:tcPr>
            <w:tcW w:w="14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8 %</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first quarter of 2023 when compared with the same periods in 2022 were as follows:</w:t>
      </w:r>
    </w:p>
    <w:p>
      <w:pPr>
        <w:spacing w:after="0" w:line="117" w:lineRule="exact"/>
        <w:rPr>
          <w:sz w:val="20"/>
          <w:szCs w:val="20"/>
          <w:color w:val="auto"/>
        </w:rPr>
      </w:pPr>
    </w:p>
    <w:p>
      <w:pPr>
        <w:ind w:left="660" w:right="2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our non-qualified deferred compensation liability during the first quarter of 2023, the impact of which does not affect net income because of an equal and offsetting change in investment income, contributed to an increase in compensation and benefits expense.</w:t>
      </w:r>
    </w:p>
    <w:p>
      <w:pPr>
        <w:spacing w:after="0" w:line="53" w:lineRule="exact"/>
        <w:rPr>
          <w:rFonts w:ascii="Times New Roman" w:cs="Times New Roman" w:eastAsia="Times New Roman" w:hAnsi="Times New Roman"/>
          <w:sz w:val="18"/>
          <w:szCs w:val="18"/>
          <w:color w:val="auto"/>
        </w:rPr>
      </w:pPr>
    </w:p>
    <w:p>
      <w:pPr>
        <w:ind w:left="660" w:right="40" w:hanging="328"/>
        <w:spacing w:after="0" w:line="312" w:lineRule="auto"/>
        <w:tabs>
          <w:tab w:leader="none" w:pos="65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employer taxes were higher during the first quarter of 2023 when compared with the same period in 2022, due to an increase in headcount during the year, which is primarily attributable to additional headcount in workforce in the company's international locations.</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Professional fees and outside services expenses increased due to a greater reliance on consultants, specifically for the Google Cloud transformation project as well as an increase in legal fees related to our business activities and product offerings. The increase in professional fees was partially offset by a decrease in NEX integration fees, which have steadily declined since the second half of 2021.</w:t>
      </w:r>
    </w:p>
    <w:p>
      <w:pPr>
        <w:spacing w:after="0" w:line="67"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 in expense related to technology support services was primarily driven by higher software license fees and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first quarter of 2023, we recognized a net loss of $0.7 million, compared with a net gain of $4.3 million during the same period in 2022, due to currency exchange rate fluctuations. Gains and losses from exchange rate fluctuations are recognized in the consolidated statements of net income when subsidiaries with a U.S. dollar functional currency hold certain monetary assets and liabilities denominated in foreign currencies.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expenses in the first quarter of 2023 when compared with the same period in 2022 were as follows:</w:t>
      </w:r>
    </w:p>
    <w:p>
      <w:pPr>
        <w:spacing w:after="0" w:line="117" w:lineRule="exact"/>
        <w:rPr>
          <w:sz w:val="20"/>
          <w:szCs w:val="20"/>
          <w:color w:val="auto"/>
        </w:rPr>
      </w:pPr>
    </w:p>
    <w:p>
      <w:pPr>
        <w:ind w:left="660" w:right="140" w:hanging="328"/>
        <w:spacing w:after="0" w:line="282" w:lineRule="auto"/>
        <w:tabs>
          <w:tab w:leader="none" w:pos="65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 in building maintenance expense in the first quarter of 2023 was driven by a decline in construction and relocation expenses related to the development of the SOFR options trading floor, which was completed in 2022.</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80" w:type="dxa"/>
            <w:vAlign w:val="bottom"/>
            <w:gridSpan w:val="4"/>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20" w:type="dxa"/>
            <w:vAlign w:val="bottom"/>
          </w:tcPr>
          <w:p>
            <w:pPr>
              <w:spacing w:after="0"/>
              <w:rPr>
                <w:sz w:val="13"/>
                <w:szCs w:val="13"/>
                <w:color w:val="auto"/>
              </w:rPr>
            </w:pPr>
          </w:p>
        </w:tc>
      </w:tr>
      <w:tr>
        <w:trPr>
          <w:trHeight w:val="194"/>
        </w:trPr>
        <w:tc>
          <w:tcPr>
            <w:tcW w:w="7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40" w:type="dxa"/>
            <w:vAlign w:val="bottom"/>
            <w:tcBorders>
              <w:bottom w:val="single" w:sz="8" w:color="auto"/>
            </w:tcBorders>
          </w:tcPr>
          <w:p>
            <w:pPr>
              <w:spacing w:after="0"/>
              <w:rPr>
                <w:sz w:val="16"/>
                <w:szCs w:val="16"/>
                <w:color w:val="auto"/>
              </w:rPr>
            </w:pPr>
          </w:p>
        </w:tc>
        <w:tc>
          <w:tcPr>
            <w:tcW w:w="1220" w:type="dxa"/>
            <w:vAlign w:val="bottom"/>
          </w:tcPr>
          <w:p>
            <w:pPr>
              <w:spacing w:after="0"/>
              <w:rPr>
                <w:sz w:val="16"/>
                <w:szCs w:val="16"/>
                <w:color w:val="auto"/>
              </w:rPr>
            </w:pPr>
          </w:p>
        </w:tc>
      </w:tr>
      <w:tr>
        <w:trPr>
          <w:trHeight w:val="196"/>
        </w:trPr>
        <w:tc>
          <w:tcPr>
            <w:tcW w:w="7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1,357.7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rPr>
              <w:t>73.1</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30"/>
        </w:trPr>
        <w:tc>
          <w:tcPr>
            <w:tcW w:w="7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center"/>
              <w:ind w:left="153"/>
              <w:spacing w:after="0"/>
              <w:rPr>
                <w:sz w:val="20"/>
                <w:szCs w:val="20"/>
                <w:color w:val="auto"/>
              </w:rPr>
            </w:pPr>
            <w:r>
              <w:rPr>
                <w:rFonts w:ascii="Times New Roman" w:cs="Times New Roman" w:eastAsia="Times New Roman" w:hAnsi="Times New Roman"/>
                <w:sz w:val="18"/>
                <w:szCs w:val="18"/>
                <w:color w:val="auto"/>
                <w:w w:val="96"/>
              </w:rPr>
              <w:t>(42.5)</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7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rPr>
              <w:t>73.3</w:t>
            </w:r>
          </w:p>
        </w:tc>
        <w:tc>
          <w:tcPr>
            <w:tcW w:w="12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7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center"/>
              <w:ind w:left="153"/>
              <w:spacing w:after="0"/>
              <w:rPr>
                <w:sz w:val="20"/>
                <w:szCs w:val="20"/>
                <w:color w:val="auto"/>
              </w:rPr>
            </w:pPr>
            <w:r>
              <w:rPr>
                <w:rFonts w:ascii="Times New Roman" w:cs="Times New Roman" w:eastAsia="Times New Roman" w:hAnsi="Times New Roman"/>
                <w:sz w:val="18"/>
                <w:szCs w:val="18"/>
                <w:color w:val="auto"/>
                <w:w w:val="96"/>
              </w:rPr>
              <w:t>(46.7)</w:t>
            </w: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48"/>
        </w:trPr>
        <w:tc>
          <w:tcPr>
            <w:tcW w:w="78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center"/>
              <w:ind w:left="173"/>
              <w:spacing w:after="0"/>
              <w:rPr>
                <w:sz w:val="20"/>
                <w:szCs w:val="20"/>
                <w:color w:val="auto"/>
              </w:rPr>
            </w:pPr>
            <w:r>
              <w:rPr>
                <w:rFonts w:ascii="Times New Roman" w:cs="Times New Roman" w:eastAsia="Times New Roman" w:hAnsi="Times New Roman"/>
                <w:sz w:val="18"/>
                <w:szCs w:val="18"/>
                <w:color w:val="auto"/>
              </w:rPr>
              <w:t>57.2</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n.m.</w:t>
            </w:r>
          </w:p>
        </w:tc>
      </w:tr>
      <w:tr>
        <w:trPr>
          <w:trHeight w:val="20"/>
        </w:trPr>
        <w:tc>
          <w:tcPr>
            <w:tcW w:w="7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n.m. not meaningful</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increased in the first quarter of 2023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compared with the same period in 2022, due to a higher rate of interest earned in the cash accounts at the Federal Reserve Bank of Chicago following multiple interest rate hikes in 2022 and early 2023. In the first quarter of 2023 and 2022, earnings from cash performance bond and guaranty fund contributions were $1,256.3 million and $73.6 million, respectively. We also recognized higher net realized and unrealized gains on investments in the first quarter of 2023.</w:t>
      </w:r>
    </w:p>
    <w:p>
      <w:pPr>
        <w:spacing w:after="0" w:line="7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Other income (expense). </w:t>
      </w:r>
      <w:r>
        <w:rPr>
          <w:rFonts w:ascii="Times New Roman" w:cs="Times New Roman" w:eastAsia="Times New Roman" w:hAnsi="Times New Roman"/>
          <w:sz w:val="18"/>
          <w:szCs w:val="18"/>
          <w:color w:val="auto"/>
        </w:rPr>
        <w:t>We recognized higher expenses related to the distribution of interest earned on performance bond collateral reinvestments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clearing firms in conjunction with higher interest income earned on our reinvestment during the first quarter of 2023 when compared with the same period in 2022. This was due to a higher Federal Funds rate in 2023 compared to the prior year period. In the first quarter of 2023 and 2022, expense related to the distribution of interest earned on collateral reinvestments was $1,163.5 million and $48.4 million, respectively.</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Pr>
          <w:p>
            <w:pPr>
              <w:spacing w:after="0"/>
              <w:rPr>
                <w:sz w:val="16"/>
                <w:szCs w:val="16"/>
                <w:color w:val="auto"/>
              </w:rPr>
            </w:pPr>
          </w:p>
        </w:tc>
        <w:tc>
          <w:tcPr>
            <w:tcW w:w="122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2022</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jc w:val="right"/>
              <w:ind w:right="7239"/>
              <w:spacing w:after="0"/>
              <w:rPr>
                <w:sz w:val="20"/>
                <w:szCs w:val="20"/>
                <w:color w:val="auto"/>
              </w:rPr>
            </w:pPr>
            <w:r>
              <w:rPr>
                <w:rFonts w:ascii="Times New Roman" w:cs="Times New Roman" w:eastAsia="Times New Roman" w:hAnsi="Times New Roman"/>
                <w:sz w:val="18"/>
                <w:szCs w:val="18"/>
                <w:color w:val="auto"/>
                <w:w w:val="99"/>
              </w:rPr>
              <w:t>Quarter ended March 31</w:t>
            </w:r>
          </w:p>
        </w:tc>
        <w:tc>
          <w:tcPr>
            <w:tcW w:w="8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97"/>
              </w:rPr>
              <w:t>23.6 %</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overall effective tax rate increased in the first quarter of 2023 when compared with the same period in 2022. In the first quarter of 2022, we recognized a benefit related to the settlement for various tax audits.</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quarter of 2023 when compared with the same period in 2022,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largely due to an increase in revenue resulting from higher volume and fee increases. Net cash used in investing activities remained relatively flat during the first quarter of 2023 when compared with the same period in 2022. Cash used in financing activities was higher during the first quarter of 2023 when compared with the same period in 2022, due to a decrease in cash performance bonds and guaranty fund contributions.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March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May 2023, stated rate of 4.30%</w:t>
            </w:r>
          </w:p>
        </w:tc>
        <w:tc>
          <w:tcPr>
            <w:tcW w:w="298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3"/>
                <w:szCs w:val="23"/>
                <w:color w:val="auto"/>
                <w:vertAlign w:val="superscript"/>
              </w:rPr>
              <w:t>(1)</w:t>
            </w:r>
          </w:p>
        </w:tc>
        <w:tc>
          <w:tcPr>
            <w:tcW w:w="29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(2)</w:t>
            </w:r>
          </w:p>
        </w:tc>
        <w:tc>
          <w:tcPr>
            <w:tcW w:w="2980" w:type="dxa"/>
            <w:vAlign w:val="bottom"/>
            <w:shd w:val="clear" w:color="auto" w:fill="CCEEFF"/>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4"/>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tcPr>
          <w:p>
            <w:pPr>
              <w:ind w:left="284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6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53"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CME Clearing, in the event of a liquidity constraint or default by a depositary (custodian for our collateral), in the event of a</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7"/>
          <w:szCs w:val="17"/>
          <w:color w:val="auto"/>
        </w:rPr>
        <w:t>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March 31, 2023, guaranty fund contributions available to collateralize the facility totaled $7.4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65"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At March 31, 2023, we have excess borrowing capacity for general corporate purposes of approximately $2.3 billion under our multi-currency revolving senior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March 31, 2023,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0"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March 31, 2023, the letters of credit totaled $360.0 million. We also maintain a $350.0 million line of credit to meet our obligations under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March 31, 2023:</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$1.6 billion and $2.7 billion at March 31, 2023 and December 31, 2022,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other current assets or other assets in the consolidated balance sheets.</w:t>
      </w:r>
    </w:p>
    <w:p>
      <w:pPr>
        <w:spacing w:after="0" w:line="75"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60"/>
        <w:spacing w:after="0" w:line="258" w:lineRule="auto"/>
        <w:rPr>
          <w:sz w:val="20"/>
          <w:szCs w:val="20"/>
          <w:color w:val="auto"/>
        </w:rPr>
      </w:pPr>
      <w:r>
        <w:rPr>
          <w:rFonts w:ascii="Times New Roman" w:cs="Times New Roman" w:eastAsia="Times New Roman" w:hAnsi="Times New Roman"/>
          <w:sz w:val="18"/>
          <w:szCs w:val="18"/>
          <w:color w:val="auto"/>
        </w:rPr>
        <w:t>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(k)(2)(i) exemption is not required to lock up customer funds as would otherwise be required under Exchange Act Rule 15c3-3.</w:t>
      </w:r>
    </w:p>
    <w:p>
      <w:pPr>
        <w:spacing w:after="0" w:line="112"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2022. Refer to Item 7A. of CME Group’s Annual Report on Form 10-K for the year ended December 31, 2022, filed with the SEC on February 27, 2023, for additional information.</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firstLine="8"/>
        <w:spacing w:after="0" w:line="261" w:lineRule="auto"/>
        <w:tabs>
          <w:tab w:leader="none" w:pos="24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 our Chief Executive Officer and Chief Financial Officer have concluded that, as of the end of such period, our disclosure controls and procedures are effective.</w:t>
      </w:r>
    </w:p>
    <w:p>
      <w:pPr>
        <w:spacing w:after="0" w:line="71" w:lineRule="exact"/>
        <w:rPr>
          <w:rFonts w:ascii="Times New Roman" w:cs="Times New Roman" w:eastAsia="Times New Roman" w:hAnsi="Times New Roman"/>
          <w:sz w:val="18"/>
          <w:szCs w:val="18"/>
          <w:color w:val="auto"/>
        </w:rPr>
      </w:pPr>
    </w:p>
    <w:p>
      <w:pPr>
        <w:ind w:right="80" w:firstLine="8"/>
        <w:spacing w:after="0" w:line="256" w:lineRule="auto"/>
        <w:tabs>
          <w:tab w:leader="none" w:pos="2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March 31, 2023,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2022, filed with the SEC on February 27, 2023.</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2022, filed with the SEC on February 27, 2023.</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 Total Number of Class A</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 Maximum Number (or Approximate</w:t>
            </w:r>
          </w:p>
        </w:tc>
        <w:tc>
          <w:tcPr>
            <w:tcW w:w="0" w:type="dxa"/>
            <w:vAlign w:val="bottom"/>
          </w:tcPr>
          <w:p>
            <w:pPr>
              <w:spacing w:after="0"/>
              <w:rPr>
                <w:sz w:val="1"/>
                <w:szCs w:val="1"/>
                <w:color w:val="auto"/>
              </w:rPr>
            </w:pPr>
          </w:p>
        </w:tc>
      </w:tr>
      <w:tr>
        <w:trPr>
          <w:trHeight w:val="146"/>
        </w:trPr>
        <w:tc>
          <w:tcPr>
            <w:tcW w:w="2920" w:type="dxa"/>
            <w:vAlign w:val="bottom"/>
          </w:tcPr>
          <w:p>
            <w:pPr>
              <w:spacing w:after="0"/>
              <w:rPr>
                <w:sz w:val="12"/>
                <w:szCs w:val="12"/>
                <w:color w:val="auto"/>
              </w:rPr>
            </w:pPr>
          </w:p>
        </w:tc>
        <w:tc>
          <w:tcPr>
            <w:tcW w:w="20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146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640" w:type="dxa"/>
            <w:vAlign w:val="bottom"/>
          </w:tcPr>
          <w:p>
            <w:pPr>
              <w:jc w:val="center"/>
              <w:ind w:right="61"/>
              <w:spacing w:after="0" w:line="146"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4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35"/>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040" w:type="dxa"/>
            <w:vAlign w:val="bottom"/>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60" w:type="dxa"/>
            <w:vAlign w:val="bottom"/>
            <w:vMerge w:val="continue"/>
          </w:tcPr>
          <w:p>
            <w:pPr>
              <w:spacing w:after="0"/>
              <w:rPr>
                <w:sz w:val="11"/>
                <w:szCs w:val="11"/>
                <w:color w:val="auto"/>
              </w:rPr>
            </w:pPr>
          </w:p>
        </w:tc>
        <w:tc>
          <w:tcPr>
            <w:tcW w:w="21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640" w:type="dxa"/>
            <w:vAlign w:val="bottom"/>
          </w:tcPr>
          <w:p>
            <w:pPr>
              <w:jc w:val="center"/>
              <w:ind w:right="41"/>
              <w:spacing w:after="0" w:line="135"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8"/>
        </w:trPr>
        <w:tc>
          <w:tcPr>
            <w:tcW w:w="2920" w:type="dxa"/>
            <w:vAlign w:val="bottom"/>
            <w:tcBorders>
              <w:bottom w:val="single" w:sz="8" w:color="auto"/>
            </w:tcBorders>
            <w:vMerge w:val="continue"/>
          </w:tcPr>
          <w:p>
            <w:pPr>
              <w:spacing w:after="0"/>
              <w:rPr>
                <w:sz w:val="17"/>
                <w:szCs w:val="17"/>
                <w:color w:val="auto"/>
              </w:rPr>
            </w:pPr>
          </w:p>
        </w:tc>
        <w:tc>
          <w:tcPr>
            <w:tcW w:w="20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6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8"/>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to January 31</w:t>
            </w:r>
          </w:p>
        </w:tc>
        <w:tc>
          <w:tcPr>
            <w:tcW w:w="2040" w:type="dxa"/>
            <w:vAlign w:val="bottom"/>
            <w:gridSpan w:val="2"/>
            <w:shd w:val="clear" w:color="auto" w:fill="CCEEFF"/>
          </w:tcPr>
          <w:p>
            <w:pPr>
              <w:ind w:left="1500"/>
              <w:spacing w:after="0"/>
              <w:rPr>
                <w:sz w:val="20"/>
                <w:szCs w:val="20"/>
                <w:color w:val="auto"/>
              </w:rPr>
            </w:pPr>
            <w:r>
              <w:rPr>
                <w:rFonts w:ascii="Times New Roman" w:cs="Times New Roman" w:eastAsia="Times New Roman" w:hAnsi="Times New Roman"/>
                <w:sz w:val="18"/>
                <w:szCs w:val="18"/>
                <w:color w:val="auto"/>
              </w:rPr>
              <w:t>—  $</w:t>
            </w: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February 1 to February 28</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184.10</w:t>
            </w:r>
          </w:p>
        </w:tc>
        <w:tc>
          <w:tcPr>
            <w:tcW w:w="2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to March 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182.20</w:t>
            </w:r>
          </w:p>
        </w:tc>
        <w:tc>
          <w:tcPr>
            <w:tcW w:w="21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1,064</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6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200" w:hanging="328"/>
        <w:spacing w:after="0" w:line="282"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1,064 shares of Class A common stock surrendered in the first quarter of 2023 to satisfy employees’ tax obligations upon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99"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20" w:type="dxa"/>
            <w:vAlign w:val="bottom"/>
            <w:gridSpan w:val="9"/>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23"/>
                <w:szCs w:val="23"/>
                <w:color w:val="auto"/>
                <w:vertAlign w:val="superscript"/>
              </w:rPr>
              <w:t>(1)</w:t>
            </w:r>
          </w:p>
        </w:tc>
        <w:tc>
          <w:tcPr>
            <w:tcW w:w="660" w:type="dxa"/>
            <w:vAlign w:val="bottom"/>
          </w:tcPr>
          <w:p>
            <w:pPr>
              <w:spacing w:after="0"/>
              <w:rPr>
                <w:sz w:val="24"/>
                <w:szCs w:val="24"/>
                <w:color w:val="auto"/>
              </w:rPr>
            </w:pPr>
          </w:p>
        </w:tc>
        <w:tc>
          <w:tcPr>
            <w:tcW w:w="9560" w:type="dxa"/>
            <w:vAlign w:val="bottom"/>
            <w:gridSpan w:val="8"/>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Retirement Agreement, effective as of March 29, 2023, between Chicago Mercantile Exchange Inc. and Sean Tully (incorporated by</w:t>
              </w:r>
            </w:hyperlink>
          </w:p>
        </w:tc>
      </w:tr>
      <w:tr>
        <w:trPr>
          <w:trHeight w:val="155"/>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60" w:type="dxa"/>
            <w:vAlign w:val="bottom"/>
            <w:tcBorders>
              <w:top w:val="single" w:sz="8" w:color="0000FF"/>
              <w:bottom w:val="single" w:sz="8" w:color="0000FF"/>
            </w:tcBorders>
            <w:gridSpan w:val="5"/>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reference to Exhibit 10.1 to CME Group’s Current Report of Form 8-K, filed with the SEC on March 30, 2023).</w:t>
              </w:r>
            </w:hyperlink>
          </w:p>
        </w:tc>
        <w:tc>
          <w:tcPr>
            <w:tcW w:w="1480" w:type="dxa"/>
            <w:vAlign w:val="bottom"/>
            <w:tcBorders>
              <w:top w:val="single" w:sz="8" w:color="0000FF"/>
            </w:tcBorders>
            <w:gridSpan w:val="2"/>
          </w:tcPr>
          <w:p>
            <w:pPr>
              <w:spacing w:after="0"/>
              <w:rPr>
                <w:sz w:val="13"/>
                <w:szCs w:val="13"/>
                <w:color w:val="auto"/>
              </w:rPr>
            </w:pPr>
          </w:p>
        </w:tc>
        <w:tc>
          <w:tcPr>
            <w:tcW w:w="20" w:type="dxa"/>
            <w:vAlign w:val="bottom"/>
          </w:tcPr>
          <w:p>
            <w:pPr>
              <w:spacing w:after="0"/>
              <w:rPr>
                <w:sz w:val="13"/>
                <w:szCs w:val="13"/>
                <w:color w:val="auto"/>
              </w:rPr>
            </w:pPr>
          </w:p>
        </w:tc>
      </w:tr>
      <w:tr>
        <w:trPr>
          <w:trHeight w:val="3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23"/>
                <w:szCs w:val="23"/>
                <w:color w:val="auto"/>
                <w:vertAlign w:val="superscript"/>
              </w:rPr>
              <w:t>(1)</w:t>
            </w:r>
          </w:p>
        </w:tc>
        <w:tc>
          <w:tcPr>
            <w:tcW w:w="660" w:type="dxa"/>
            <w:vAlign w:val="bottom"/>
          </w:tcPr>
          <w:p>
            <w:pPr>
              <w:spacing w:after="0"/>
              <w:rPr>
                <w:sz w:val="24"/>
                <w:szCs w:val="24"/>
                <w:color w:val="auto"/>
              </w:rPr>
            </w:pPr>
          </w:p>
        </w:tc>
        <w:tc>
          <w:tcPr>
            <w:tcW w:w="9560" w:type="dxa"/>
            <w:vAlign w:val="bottom"/>
            <w:gridSpan w:val="8"/>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CME Group Inc. Severance Plan, as amended and restated effective March 7, 2023 (incorporated by reference to Exhibit 10.1 to</w:t>
              </w:r>
            </w:hyperlink>
          </w:p>
        </w:tc>
      </w:tr>
      <w:tr>
        <w:trPr>
          <w:trHeight w:val="156"/>
        </w:trPr>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220" w:type="dxa"/>
            <w:vAlign w:val="bottom"/>
            <w:tcBorders>
              <w:top w:val="single" w:sz="8" w:color="0000FF"/>
            </w:tcBorders>
            <w:gridSpan w:val="6"/>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CME Group’s Current Report on Form 8-K, filed with the SEC on March 10, 2023).</w:t>
              </w:r>
            </w:hyperlink>
          </w:p>
        </w:tc>
        <w:tc>
          <w:tcPr>
            <w:tcW w:w="340" w:type="dxa"/>
            <w:vAlign w:val="bottom"/>
            <w:gridSpan w:val="2"/>
          </w:tcPr>
          <w:p>
            <w:pPr>
              <w:spacing w:after="0"/>
              <w:rPr>
                <w:sz w:val="13"/>
                <w:szCs w:val="13"/>
                <w:color w:val="auto"/>
              </w:rPr>
            </w:pPr>
          </w:p>
        </w:tc>
      </w:tr>
      <w:tr>
        <w:trPr>
          <w:trHeight w:val="331"/>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660" w:type="dxa"/>
            <w:vAlign w:val="bottom"/>
          </w:tcPr>
          <w:p>
            <w:pPr>
              <w:spacing w:after="0"/>
              <w:rPr>
                <w:sz w:val="24"/>
                <w:szCs w:val="24"/>
                <w:color w:val="auto"/>
              </w:rPr>
            </w:pPr>
          </w:p>
        </w:tc>
        <w:tc>
          <w:tcPr>
            <w:tcW w:w="330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Section 302 Certification—Terrence A. Duffy</w:t>
            </w:r>
          </w:p>
        </w:tc>
        <w:tc>
          <w:tcPr>
            <w:tcW w:w="2760" w:type="dxa"/>
            <w:vAlign w:val="bottom"/>
            <w:tcBorders>
              <w:top w:val="single" w:sz="8" w:color="0000FF"/>
            </w:tcBorders>
          </w:tcPr>
          <w:p>
            <w:pPr>
              <w:spacing w:after="0"/>
              <w:rPr>
                <w:sz w:val="24"/>
                <w:szCs w:val="24"/>
                <w:color w:val="auto"/>
              </w:rPr>
            </w:pPr>
          </w:p>
        </w:tc>
        <w:tc>
          <w:tcPr>
            <w:tcW w:w="3500" w:type="dxa"/>
            <w:vAlign w:val="bottom"/>
            <w:gridSpan w:val="4"/>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660" w:type="dxa"/>
            <w:vAlign w:val="bottom"/>
          </w:tcPr>
          <w:p>
            <w:pPr>
              <w:spacing w:after="0"/>
              <w:rPr>
                <w:sz w:val="24"/>
                <w:szCs w:val="24"/>
                <w:color w:val="auto"/>
              </w:rPr>
            </w:pPr>
          </w:p>
        </w:tc>
        <w:tc>
          <w:tcPr>
            <w:tcW w:w="32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8"/>
              </w:rPr>
              <w:t>Section 302 Certification—Lynne Fitzpatrick</w:t>
            </w:r>
          </w:p>
        </w:tc>
        <w:tc>
          <w:tcPr>
            <w:tcW w:w="6300" w:type="dxa"/>
            <w:vAlign w:val="bottom"/>
            <w:gridSpan w:val="6"/>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Section 906 Certification</w:t>
            </w:r>
          </w:p>
        </w:tc>
      </w:tr>
      <w:tr>
        <w:trPr>
          <w:trHeight w:val="20"/>
        </w:trPr>
        <w:tc>
          <w:tcPr>
            <w:tcW w:w="9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7760" w:type="dxa"/>
            <w:vAlign w:val="bottom"/>
            <w:gridSpan w:val="7"/>
          </w:tcPr>
          <w:p>
            <w:pPr>
              <w:spacing w:after="0" w:line="20" w:lineRule="exact"/>
              <w:rPr>
                <w:sz w:val="1"/>
                <w:szCs w:val="1"/>
                <w:color w:val="auto"/>
              </w:rPr>
            </w:pPr>
          </w:p>
        </w:tc>
      </w:tr>
      <w:tr>
        <w:trPr>
          <w:trHeight w:val="304"/>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March 31, 2023,</w:t>
            </w:r>
          </w:p>
        </w:tc>
      </w:tr>
      <w:tr>
        <w:trPr>
          <w:trHeight w:val="175"/>
        </w:trPr>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5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auto"/>
              </w:rPr>
              <w:t>formatted in Inline XBRL (Xtensible Business Reporting Language): (i) the Consolidated Balance Sheets, (ii) the Consolidated</w:t>
            </w:r>
          </w:p>
        </w:tc>
      </w:tr>
      <w:tr>
        <w:trPr>
          <w:trHeight w:val="184"/>
        </w:trPr>
        <w:tc>
          <w:tcPr>
            <w:tcW w:w="9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560" w:type="dxa"/>
            <w:vAlign w:val="bottom"/>
            <w:gridSpan w:val="8"/>
          </w:tcPr>
          <w:p>
            <w:pPr>
              <w:spacing w:after="0" w:line="184" w:lineRule="exact"/>
              <w:rPr>
                <w:sz w:val="20"/>
                <w:szCs w:val="20"/>
                <w:color w:val="auto"/>
              </w:rPr>
            </w:pPr>
            <w:r>
              <w:rPr>
                <w:rFonts w:ascii="Times New Roman" w:cs="Times New Roman" w:eastAsia="Times New Roman" w:hAnsi="Times New Roman"/>
                <w:sz w:val="18"/>
                <w:szCs w:val="18"/>
                <w:color w:val="auto"/>
              </w:rPr>
              <w:t>Statements of Income, (iii) the Consolidated Statements of Comprehensive Income, (iv) the Consolidated Statements of Equity, (v)</w:t>
            </w:r>
          </w:p>
        </w:tc>
      </w:tr>
      <w:tr>
        <w:trPr>
          <w:trHeight w:val="180"/>
        </w:trPr>
        <w:tc>
          <w:tcPr>
            <w:tcW w:w="9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560" w:type="dxa"/>
            <w:vAlign w:val="bottom"/>
            <w:gridSpan w:val="8"/>
          </w:tcPr>
          <w:p>
            <w:pPr>
              <w:spacing w:after="0" w:line="181" w:lineRule="exact"/>
              <w:rPr>
                <w:sz w:val="20"/>
                <w:szCs w:val="20"/>
                <w:color w:val="auto"/>
              </w:rPr>
            </w:pPr>
            <w:r>
              <w:rPr>
                <w:rFonts w:ascii="Times New Roman" w:cs="Times New Roman" w:eastAsia="Times New Roman" w:hAnsi="Times New Roman"/>
                <w:sz w:val="18"/>
                <w:szCs w:val="18"/>
                <w:color w:val="auto"/>
              </w:rPr>
              <w:t>the Consolidated Statements of Cash Flows and (vi) Notes to Unaudited Consolidated Financial Statements, tagged as blocks of</w:t>
            </w:r>
          </w:p>
        </w:tc>
      </w:tr>
      <w:tr>
        <w:trPr>
          <w:trHeight w:val="234"/>
        </w:trPr>
        <w:tc>
          <w:tcPr>
            <w:tcW w:w="9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text.</w:t>
            </w:r>
          </w:p>
        </w:tc>
      </w:tr>
      <w:tr>
        <w:trPr>
          <w:trHeight w:val="292"/>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included in the Inline XBRL Document Set for Exhibit 101.</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486"/>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660" w:type="dxa"/>
            <w:vAlign w:val="bottom"/>
          </w:tcPr>
          <w:p>
            <w:pPr>
              <w:spacing w:after="0"/>
              <w:rPr>
                <w:sz w:val="24"/>
                <w:szCs w:val="24"/>
                <w:color w:val="auto"/>
              </w:rPr>
            </w:pPr>
          </w:p>
        </w:tc>
        <w:tc>
          <w:tcPr>
            <w:tcW w:w="95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Management contract, compensatory plan or arrangement.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May 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Senior Managing Director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00"/>
          </w:cols>
          <w:pgMar w:left="320" w:top="121" w:right="37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2023</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May 3, 2023</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8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March 31, 2023 as filed with the Securities and Exchange Commission on the date hereof (the “Report”), Terrence A. Duffy, as Chief Executive Officer of the Company, and John W. Pietrowicz,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2023</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3, 2023</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
      <w:numFmt w:val="bullet"/>
      <w:start w:val="1"/>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1)"/>
      <w:numFmt w:val="decimal"/>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1)"/>
      <w:numFmt w:val="decimal"/>
      <w:start w:val="1"/>
    </w:lvl>
  </w:abstractNum>
  <w:abstractNum w:abstractNumId="10">
    <w:nsid w:val="6B68079A"/>
    <w:multiLevelType w:val="hybridMultilevel"/>
    <w:lvl w:ilvl="0">
      <w:lvlJc w:val="left"/>
      <w:lvlText w:val="(%1)"/>
      <w:numFmt w:val="lowerLetter"/>
      <w:start w:val="1"/>
    </w:lvl>
  </w:abstractNum>
  <w:abstractNum w:abstractNumId="11">
    <w:nsid w:val="4E6AFB66"/>
    <w:multiLevelType w:val="hybridMultilevel"/>
    <w:lvl w:ilvl="0">
      <w:lvlJc w:val="left"/>
      <w:lvlText w:val="(%1)"/>
      <w:numFmt w:val="decimal"/>
      <w:start w:val="1"/>
    </w:lvl>
  </w:abstractNum>
  <w:abstractNum w:abstractNumId="12">
    <w:nsid w:val="25E45D32"/>
    <w:multiLevelType w:val="hybridMultilevel"/>
    <w:lvl w:ilvl="0">
      <w:lvlJc w:val="left"/>
      <w:lvlText w:val="%1."/>
      <w:numFmt w:val="decimal"/>
      <w:start w:val="1"/>
    </w:lvl>
  </w:abstractNum>
  <w:abstractNum w:abstractNumId="13">
    <w:nsid w:val="519B500D"/>
    <w:multiLevelType w:val="hybridMultilevel"/>
    <w:lvl w:ilvl="0">
      <w:lvlJc w:val="left"/>
      <w:lvlText w:val="%1)"/>
      <w:numFmt w:val="lowerLetter"/>
      <w:start w:val="1"/>
    </w:lvl>
  </w:abstractNum>
  <w:abstractNum w:abstractNumId="14">
    <w:nsid w:val="431BD7B7"/>
    <w:multiLevelType w:val="hybridMultilevel"/>
    <w:lvl w:ilvl="0">
      <w:lvlJc w:val="left"/>
      <w:lvlText w:val="%1."/>
      <w:numFmt w:val="decimal"/>
      <w:start w:val="5"/>
    </w:lvl>
  </w:abstractNum>
  <w:abstractNum w:abstractNumId="15">
    <w:nsid w:val="3F2DBA31"/>
    <w:multiLevelType w:val="hybridMultilevel"/>
    <w:lvl w:ilvl="0">
      <w:lvlJc w:val="left"/>
      <w:lvlText w:val="%1)"/>
      <w:numFmt w:val="lowerLetter"/>
      <w:start w:val="1"/>
    </w:lvl>
  </w:abstractNum>
  <w:abstractNum w:abstractNumId="16">
    <w:nsid w:val="7C83E458"/>
    <w:multiLevelType w:val="hybridMultilevel"/>
    <w:lvl w:ilvl="0">
      <w:lvlJc w:val="left"/>
      <w:lvlText w:val="%1."/>
      <w:numFmt w:val="decimal"/>
      <w:start w:val="1"/>
    </w:lvl>
  </w:abstractNum>
  <w:abstractNum w:abstractNumId="17">
    <w:nsid w:val="257130A3"/>
    <w:multiLevelType w:val="hybridMultilevel"/>
    <w:lvl w:ilvl="0">
      <w:lvlJc w:val="left"/>
      <w:lvlText w:val="%1)"/>
      <w:numFmt w:val="lowerLetter"/>
      <w:start w:val="1"/>
    </w:lvl>
  </w:abstractNum>
  <w:abstractNum w:abstractNumId="18">
    <w:nsid w:val="62BBD95A"/>
    <w:multiLevelType w:val="hybridMultilevel"/>
    <w:lvl w:ilvl="0">
      <w:lvlJc w:val="left"/>
      <w:lvlText w:val="%1."/>
      <w:numFmt w:val="decimal"/>
      <w:start w:val="5"/>
    </w:lvl>
  </w:abstractNum>
  <w:abstractNum w:abstractNumId="19">
    <w:nsid w:val="436C6125"/>
    <w:multiLevelType w:val="hybridMultilevel"/>
    <w:lvl w:ilvl="0">
      <w:lvlJc w:val="left"/>
      <w:lvlText w:val="%1)"/>
      <w:numFmt w:val="lowerLetter"/>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56" Type="http://schemas.openxmlformats.org/officeDocument/2006/relationships/hyperlink" Target="http://www.sec.gov/Archives/edgar/data/1156375/000119312523085533/d488577dex101.htm" TargetMode="External"/><Relationship Id="rId57" Type="http://schemas.openxmlformats.org/officeDocument/2006/relationships/hyperlink" Target="http://www.sec.gov/Archives/edgar/data/1156375/000119312523067672/d472500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2023-05-03T13:25:31Z</dcterms:created>
  <dcterms:modified xsi:type="dcterms:W3CDTF">2023-05-03T13:25:31Z</dcterms:modified>
</cp:coreProperties>
</file>